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b/>
          <w:bCs/>
        </w:rPr>
      </w:pPr>
      <w:r>
        <w:rPr>
          <w:rFonts w:hint="eastAsia" w:ascii="宋体" w:hAnsi="宋体" w:eastAsia="宋体" w:cs="宋体"/>
        </w:rPr>
        <w:t>“</w:t>
      </w:r>
      <w:r>
        <w:rPr>
          <w:rFonts w:hint="eastAsia" w:ascii="宋体" w:hAnsi="宋体" w:eastAsia="宋体" w:cs="宋体"/>
          <w:b/>
          <w:bCs/>
        </w:rPr>
        <w:t>择优竞价”采购公告</w:t>
      </w:r>
    </w:p>
    <w:p>
      <w:pPr>
        <w:spacing w:line="500" w:lineRule="exact"/>
        <w:jc w:val="center"/>
        <w:rPr>
          <w:rFonts w:hint="eastAsia"/>
          <w:b/>
          <w:bCs/>
        </w:rPr>
      </w:pPr>
      <w:r>
        <w:rPr>
          <w:rFonts w:hint="eastAsia" w:ascii="宋体" w:hAnsi="宋体" w:eastAsia="宋体" w:cs="宋体"/>
          <w:b/>
          <w:bCs/>
          <w:sz w:val="24"/>
          <w:szCs w:val="24"/>
          <w:lang w:val="en-US" w:eastAsia="zh-CN"/>
        </w:rPr>
        <w:t>龙羽站基础设施修缮</w:t>
      </w:r>
      <w:r>
        <w:rPr>
          <w:rFonts w:hint="eastAsia" w:ascii="宋体" w:hAnsi="宋体" w:eastAsia="宋体" w:cs="宋体"/>
          <w:b/>
          <w:bCs/>
          <w:sz w:val="24"/>
          <w:szCs w:val="24"/>
        </w:rPr>
        <w:t>工程采购公告</w:t>
      </w:r>
    </w:p>
    <w:tbl>
      <w:tblPr>
        <w:tblStyle w:val="9"/>
        <w:tblW w:w="9802" w:type="dxa"/>
        <w:tblInd w:w="0" w:type="dxa"/>
        <w:tblLayout w:type="fixed"/>
        <w:tblCellMar>
          <w:top w:w="0" w:type="dxa"/>
          <w:left w:w="0" w:type="dxa"/>
          <w:bottom w:w="0" w:type="dxa"/>
          <w:right w:w="0" w:type="dxa"/>
        </w:tblCellMar>
      </w:tblPr>
      <w:tblGrid>
        <w:gridCol w:w="2275"/>
        <w:gridCol w:w="7527"/>
      </w:tblGrid>
      <w:tr>
        <w:tblPrEx>
          <w:tblCellMar>
            <w:top w:w="0" w:type="dxa"/>
            <w:left w:w="0" w:type="dxa"/>
            <w:bottom w:w="0" w:type="dxa"/>
            <w:right w:w="0" w:type="dxa"/>
          </w:tblCellMar>
        </w:tblPrEx>
        <w:trPr>
          <w:trHeight w:val="608" w:hRule="atLeast"/>
        </w:trPr>
        <w:tc>
          <w:tcPr>
            <w:tcW w:w="22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eastAsia" w:ascii="宋体" w:hAnsi="宋体" w:eastAsia="宋体" w:cs="宋体"/>
                <w:sz w:val="24"/>
                <w:szCs w:val="24"/>
              </w:rPr>
            </w:pPr>
            <w:r>
              <w:rPr>
                <w:rFonts w:hint="eastAsia" w:ascii="宋体" w:hAnsi="宋体" w:eastAsia="宋体" w:cs="宋体"/>
                <w:sz w:val="24"/>
                <w:szCs w:val="24"/>
              </w:rPr>
              <w:t>项目名称</w:t>
            </w:r>
          </w:p>
        </w:tc>
        <w:tc>
          <w:tcPr>
            <w:tcW w:w="752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ascii="宋体" w:hAnsi="宋体" w:eastAsia="宋体" w:cs="宋体"/>
                <w:sz w:val="24"/>
                <w:szCs w:val="24"/>
              </w:rPr>
            </w:pPr>
            <w:r>
              <w:rPr>
                <w:rFonts w:hint="eastAsia" w:ascii="宋体" w:hAnsi="宋体" w:eastAsia="宋体" w:cs="宋体"/>
                <w:sz w:val="24"/>
                <w:szCs w:val="24"/>
                <w:lang w:val="en-US" w:eastAsia="zh-CN"/>
              </w:rPr>
              <w:t>龙羽站基础设施修缮</w:t>
            </w:r>
            <w:r>
              <w:rPr>
                <w:rFonts w:hint="eastAsia" w:ascii="宋体" w:hAnsi="宋体" w:eastAsia="宋体" w:cs="宋体"/>
                <w:sz w:val="24"/>
                <w:szCs w:val="24"/>
              </w:rPr>
              <w:t>工程项目</w:t>
            </w:r>
          </w:p>
        </w:tc>
      </w:tr>
      <w:tr>
        <w:tblPrEx>
          <w:tblCellMar>
            <w:top w:w="0" w:type="dxa"/>
            <w:left w:w="0" w:type="dxa"/>
            <w:bottom w:w="0" w:type="dxa"/>
            <w:right w:w="0" w:type="dxa"/>
          </w:tblCellMar>
        </w:tblPrEx>
        <w:trPr>
          <w:trHeight w:val="608" w:hRule="atLeast"/>
        </w:trPr>
        <w:tc>
          <w:tcPr>
            <w:tcW w:w="22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eastAsia" w:ascii="宋体" w:hAnsi="宋体" w:eastAsia="宋体" w:cs="宋体"/>
                <w:sz w:val="24"/>
                <w:szCs w:val="24"/>
              </w:rPr>
            </w:pPr>
            <w:r>
              <w:rPr>
                <w:rFonts w:hint="eastAsia" w:ascii="宋体" w:hAnsi="宋体" w:eastAsia="宋体" w:cs="宋体"/>
                <w:sz w:val="24"/>
                <w:szCs w:val="24"/>
              </w:rPr>
              <w:t>采购人</w:t>
            </w:r>
          </w:p>
        </w:tc>
        <w:tc>
          <w:tcPr>
            <w:tcW w:w="752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ascii="宋体" w:hAnsi="宋体" w:eastAsia="宋体" w:cs="宋体"/>
                <w:sz w:val="24"/>
                <w:szCs w:val="24"/>
              </w:rPr>
            </w:pPr>
            <w:r>
              <w:rPr>
                <w:rFonts w:hint="eastAsia" w:ascii="宋体" w:hAnsi="宋体" w:eastAsia="宋体" w:cs="宋体"/>
                <w:sz w:val="24"/>
                <w:szCs w:val="24"/>
              </w:rPr>
              <w:t>重庆市固体废弃物运输有限公司</w:t>
            </w:r>
          </w:p>
        </w:tc>
      </w:tr>
      <w:tr>
        <w:tblPrEx>
          <w:tblCellMar>
            <w:top w:w="0" w:type="dxa"/>
            <w:left w:w="0" w:type="dxa"/>
            <w:bottom w:w="0" w:type="dxa"/>
            <w:right w:w="0" w:type="dxa"/>
          </w:tblCellMar>
        </w:tblPrEx>
        <w:trPr>
          <w:trHeight w:val="608" w:hRule="atLeast"/>
        </w:trPr>
        <w:tc>
          <w:tcPr>
            <w:tcW w:w="22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eastAsia" w:ascii="宋体" w:hAnsi="宋体" w:eastAsia="宋体" w:cs="宋体"/>
                <w:sz w:val="24"/>
                <w:szCs w:val="24"/>
              </w:rPr>
            </w:pPr>
            <w:r>
              <w:rPr>
                <w:rFonts w:hint="eastAsia" w:ascii="宋体" w:hAnsi="宋体" w:eastAsia="宋体" w:cs="宋体"/>
                <w:sz w:val="24"/>
                <w:szCs w:val="24"/>
              </w:rPr>
              <w:t>资金渠道</w:t>
            </w:r>
          </w:p>
        </w:tc>
        <w:tc>
          <w:tcPr>
            <w:tcW w:w="752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ascii="宋体" w:hAnsi="宋体" w:eastAsia="宋体" w:cs="宋体"/>
                <w:sz w:val="24"/>
                <w:szCs w:val="24"/>
              </w:rPr>
            </w:pPr>
            <w:r>
              <w:rPr>
                <w:rFonts w:hint="eastAsia" w:ascii="宋体" w:hAnsi="宋体" w:eastAsia="宋体" w:cs="宋体"/>
                <w:sz w:val="24"/>
                <w:szCs w:val="24"/>
              </w:rPr>
              <w:t>运行资金</w:t>
            </w:r>
          </w:p>
        </w:tc>
      </w:tr>
      <w:tr>
        <w:tblPrEx>
          <w:tblCellMar>
            <w:top w:w="0" w:type="dxa"/>
            <w:left w:w="0" w:type="dxa"/>
            <w:bottom w:w="0" w:type="dxa"/>
            <w:right w:w="0" w:type="dxa"/>
          </w:tblCellMar>
        </w:tblPrEx>
        <w:trPr>
          <w:trHeight w:val="608" w:hRule="atLeast"/>
        </w:trPr>
        <w:tc>
          <w:tcPr>
            <w:tcW w:w="22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eastAsia" w:ascii="宋体" w:hAnsi="宋体" w:eastAsia="宋体" w:cs="宋体"/>
                <w:sz w:val="24"/>
                <w:szCs w:val="24"/>
              </w:rPr>
            </w:pPr>
            <w:r>
              <w:rPr>
                <w:rFonts w:hint="eastAsia" w:ascii="宋体" w:hAnsi="宋体" w:eastAsia="宋体" w:cs="宋体"/>
                <w:sz w:val="24"/>
                <w:szCs w:val="24"/>
              </w:rPr>
              <w:t>项目实施地</w:t>
            </w:r>
          </w:p>
        </w:tc>
        <w:tc>
          <w:tcPr>
            <w:tcW w:w="752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default" w:ascii="宋体" w:hAnsi="宋体" w:eastAsia="宋体" w:cs="宋体"/>
                <w:sz w:val="24"/>
                <w:szCs w:val="24"/>
                <w:lang w:val="en-US" w:eastAsia="zh-CN"/>
              </w:rPr>
            </w:pPr>
            <w:r>
              <w:rPr>
                <w:rFonts w:hint="eastAsia" w:ascii="宋体" w:hAnsi="宋体" w:eastAsia="宋体" w:cs="宋体"/>
                <w:sz w:val="24"/>
                <w:szCs w:val="24"/>
              </w:rPr>
              <w:t>重庆市固体废弃物运输有限公司</w:t>
            </w:r>
            <w:r>
              <w:rPr>
                <w:rFonts w:hint="eastAsia" w:ascii="宋体" w:hAnsi="宋体" w:eastAsia="宋体" w:cs="宋体"/>
                <w:sz w:val="24"/>
                <w:szCs w:val="24"/>
                <w:lang w:val="en-US" w:eastAsia="zh-CN"/>
              </w:rPr>
              <w:t>北部分公司龙羽站</w:t>
            </w:r>
          </w:p>
        </w:tc>
      </w:tr>
      <w:tr>
        <w:tblPrEx>
          <w:tblCellMar>
            <w:top w:w="0" w:type="dxa"/>
            <w:left w:w="0" w:type="dxa"/>
            <w:bottom w:w="0" w:type="dxa"/>
            <w:right w:w="0" w:type="dxa"/>
          </w:tblCellMar>
        </w:tblPrEx>
        <w:trPr>
          <w:trHeight w:val="608" w:hRule="atLeast"/>
        </w:trPr>
        <w:tc>
          <w:tcPr>
            <w:tcW w:w="22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eastAsia" w:ascii="宋体" w:hAnsi="宋体" w:eastAsia="宋体" w:cs="宋体"/>
                <w:sz w:val="24"/>
                <w:szCs w:val="24"/>
              </w:rPr>
            </w:pPr>
            <w:r>
              <w:rPr>
                <w:rFonts w:hint="eastAsia" w:ascii="宋体" w:hAnsi="宋体" w:eastAsia="宋体" w:cs="宋体"/>
                <w:sz w:val="24"/>
                <w:szCs w:val="24"/>
              </w:rPr>
              <w:t>采购内容</w:t>
            </w:r>
          </w:p>
        </w:tc>
        <w:tc>
          <w:tcPr>
            <w:tcW w:w="752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jc w:val="left"/>
              <w:rPr>
                <w:rFonts w:ascii="宋体" w:hAnsi="宋体" w:eastAsia="宋体" w:cs="宋体"/>
                <w:sz w:val="24"/>
                <w:szCs w:val="24"/>
              </w:rPr>
            </w:pPr>
            <w:r>
              <w:rPr>
                <w:rFonts w:hint="eastAsia" w:ascii="宋体" w:hAnsi="宋体" w:eastAsia="宋体" w:cs="宋体"/>
                <w:bCs/>
                <w:snapToGrid w:val="0"/>
                <w:sz w:val="24"/>
                <w:szCs w:val="24"/>
              </w:rPr>
              <w:t>混凝土路面修复、沥青路面修复、</w:t>
            </w:r>
            <w:r>
              <w:rPr>
                <w:rFonts w:hint="eastAsia" w:ascii="宋体" w:hAnsi="宋体" w:eastAsia="宋体" w:cs="宋体"/>
                <w:bCs/>
                <w:snapToGrid w:val="0"/>
                <w:sz w:val="24"/>
                <w:szCs w:val="24"/>
                <w:lang w:val="en-US" w:eastAsia="zh-CN"/>
              </w:rPr>
              <w:t>屋面防水处理、</w:t>
            </w:r>
            <w:r>
              <w:rPr>
                <w:rFonts w:hint="eastAsia" w:ascii="宋体" w:hAnsi="宋体" w:eastAsia="宋体" w:cs="宋体"/>
                <w:bCs/>
                <w:snapToGrid w:val="0"/>
                <w:sz w:val="24"/>
                <w:szCs w:val="24"/>
              </w:rPr>
              <w:t>喷涂</w:t>
            </w:r>
            <w:r>
              <w:rPr>
                <w:rFonts w:hint="eastAsia" w:ascii="宋体" w:hAnsi="宋体" w:eastAsia="宋体" w:cs="宋体"/>
                <w:bCs/>
                <w:snapToGrid w:val="0"/>
                <w:sz w:val="24"/>
                <w:szCs w:val="24"/>
                <w:lang w:val="en-US" w:eastAsia="zh-CN"/>
              </w:rPr>
              <w:t>内墙漆、安装排水管网及防滑带等</w:t>
            </w:r>
            <w:r>
              <w:rPr>
                <w:rFonts w:hint="eastAsia" w:ascii="宋体" w:hAnsi="宋体" w:eastAsia="宋体" w:cs="宋体"/>
                <w:bCs/>
                <w:snapToGrid w:val="0"/>
                <w:sz w:val="24"/>
                <w:szCs w:val="24"/>
                <w:lang w:eastAsia="zh-CN"/>
              </w:rPr>
              <w:t>（详见附件方案内容及技术要求）</w:t>
            </w:r>
            <w:r>
              <w:rPr>
                <w:rFonts w:hint="eastAsia" w:ascii="宋体" w:hAnsi="宋体" w:eastAsia="宋体" w:cs="宋体"/>
                <w:bCs/>
                <w:snapToGrid w:val="0"/>
                <w:sz w:val="24"/>
                <w:szCs w:val="24"/>
              </w:rPr>
              <w:t xml:space="preserve">。 </w:t>
            </w:r>
          </w:p>
        </w:tc>
      </w:tr>
      <w:tr>
        <w:tblPrEx>
          <w:tblCellMar>
            <w:top w:w="0" w:type="dxa"/>
            <w:left w:w="0" w:type="dxa"/>
            <w:bottom w:w="0" w:type="dxa"/>
            <w:right w:w="0" w:type="dxa"/>
          </w:tblCellMar>
        </w:tblPrEx>
        <w:trPr>
          <w:trHeight w:val="608" w:hRule="atLeast"/>
        </w:trPr>
        <w:tc>
          <w:tcPr>
            <w:tcW w:w="22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eastAsia" w:ascii="宋体" w:hAnsi="宋体" w:eastAsia="宋体" w:cs="宋体"/>
                <w:sz w:val="24"/>
                <w:szCs w:val="24"/>
              </w:rPr>
            </w:pPr>
            <w:r>
              <w:rPr>
                <w:rFonts w:hint="eastAsia" w:ascii="宋体" w:hAnsi="宋体" w:eastAsia="宋体" w:cs="宋体"/>
                <w:sz w:val="24"/>
                <w:szCs w:val="24"/>
              </w:rPr>
              <w:t>资质业绩要求</w:t>
            </w:r>
          </w:p>
        </w:tc>
        <w:tc>
          <w:tcPr>
            <w:tcW w:w="752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320" w:lineRule="exact"/>
              <w:jc w:val="left"/>
              <w:rPr>
                <w:rFonts w:hint="eastAsia" w:ascii="宋体" w:hAnsi="宋体" w:eastAsia="宋体" w:cs="宋体"/>
                <w:sz w:val="24"/>
                <w:szCs w:val="24"/>
              </w:rPr>
            </w:pPr>
            <w:bookmarkStart w:id="0" w:name="_Toc340225281"/>
            <w:r>
              <w:rPr>
                <w:rFonts w:hint="eastAsia" w:ascii="宋体" w:hAnsi="宋体" w:eastAsia="宋体" w:cs="宋体"/>
                <w:sz w:val="24"/>
                <w:szCs w:val="24"/>
              </w:rPr>
              <w:t>竞选人须具有如下资格条件：</w:t>
            </w:r>
          </w:p>
          <w:p>
            <w:pPr>
              <w:widowControl/>
              <w:numPr>
                <w:ilvl w:val="0"/>
                <w:numId w:val="1"/>
              </w:numPr>
              <w:jc w:val="left"/>
              <w:rPr>
                <w:rFonts w:hint="eastAsia" w:ascii="宋体" w:hAnsi="宋体" w:eastAsia="宋体" w:cs="宋体"/>
                <w:bCs/>
                <w:snapToGrid w:val="0"/>
                <w:sz w:val="24"/>
                <w:szCs w:val="24"/>
              </w:rPr>
            </w:pPr>
            <w:r>
              <w:rPr>
                <w:rFonts w:hint="eastAsia" w:ascii="宋体" w:hAnsi="宋体" w:eastAsia="宋体" w:cs="宋体"/>
                <w:bCs/>
                <w:snapToGrid w:val="0"/>
                <w:sz w:val="24"/>
                <w:szCs w:val="24"/>
              </w:rPr>
              <w:t>竞选人须具备建设行政主管部门颁发有效的工程施工总承包三级及以上资质证书</w:t>
            </w:r>
            <w:r>
              <w:rPr>
                <w:rFonts w:hint="eastAsia" w:ascii="宋体" w:hAnsi="宋体" w:eastAsia="宋体" w:cs="宋体"/>
                <w:bCs/>
                <w:snapToGrid w:val="0"/>
                <w:sz w:val="24"/>
                <w:szCs w:val="24"/>
                <w:lang w:eastAsia="zh-CN"/>
              </w:rPr>
              <w:t>。</w:t>
            </w:r>
          </w:p>
          <w:p>
            <w:pPr>
              <w:widowControl/>
              <w:numPr>
                <w:ilvl w:val="0"/>
                <w:numId w:val="1"/>
              </w:numPr>
              <w:jc w:val="left"/>
              <w:rPr>
                <w:rFonts w:hint="eastAsia" w:ascii="宋体" w:hAnsi="宋体" w:eastAsia="宋体" w:cs="宋体"/>
                <w:bCs/>
                <w:snapToGrid w:val="0"/>
                <w:sz w:val="24"/>
                <w:szCs w:val="24"/>
                <w:lang w:eastAsia="zh-CN"/>
              </w:rPr>
            </w:pPr>
            <w:r>
              <w:rPr>
                <w:rFonts w:hint="eastAsia" w:ascii="宋体" w:hAnsi="宋体" w:eastAsia="宋体" w:cs="宋体"/>
                <w:color w:val="auto"/>
                <w:sz w:val="24"/>
                <w:szCs w:val="24"/>
                <w:highlight w:val="none"/>
              </w:rPr>
              <w:t>具有履行合同所必需的设备和专业技术能力</w:t>
            </w:r>
            <w:r>
              <w:rPr>
                <w:rFonts w:hint="eastAsia" w:ascii="宋体" w:hAnsi="宋体" w:eastAsia="宋体" w:cs="宋体"/>
                <w:bCs/>
                <w:snapToGrid w:val="0"/>
                <w:sz w:val="24"/>
                <w:szCs w:val="24"/>
                <w:lang w:eastAsia="zh-CN"/>
              </w:rPr>
              <w:t>。</w:t>
            </w:r>
          </w:p>
          <w:p>
            <w:pPr>
              <w:widowControl/>
              <w:jc w:val="left"/>
              <w:rPr>
                <w:rFonts w:hint="eastAsia" w:ascii="宋体" w:hAnsi="宋体" w:eastAsia="宋体" w:cs="宋体"/>
                <w:bCs/>
                <w:snapToGrid w:val="0"/>
                <w:sz w:val="24"/>
                <w:szCs w:val="24"/>
                <w:lang w:val="en-US" w:eastAsia="zh-CN"/>
              </w:rPr>
            </w:pPr>
            <w:r>
              <w:rPr>
                <w:rFonts w:hint="eastAsia" w:ascii="宋体" w:hAnsi="宋体" w:eastAsia="宋体" w:cs="宋体"/>
                <w:bCs/>
                <w:snapToGrid w:val="0"/>
                <w:sz w:val="24"/>
                <w:szCs w:val="24"/>
                <w:lang w:val="en-US" w:eastAsia="zh-CN"/>
              </w:rPr>
              <w:t>（3）竞选人具有企业或事业单位独立法人资格。本项目不接受竞选人以联合体形式竞选（需提供营业执照复印件，并加盖竞选人鲜章）。</w:t>
            </w:r>
          </w:p>
          <w:p>
            <w:pPr>
              <w:widowControl/>
              <w:jc w:val="left"/>
              <w:rPr>
                <w:rFonts w:hint="eastAsia" w:ascii="宋体" w:hAnsi="宋体" w:eastAsia="宋体" w:cs="宋体"/>
                <w:sz w:val="24"/>
                <w:szCs w:val="24"/>
              </w:rPr>
            </w:pPr>
            <w:r>
              <w:rPr>
                <w:rFonts w:hint="eastAsia" w:ascii="宋体" w:hAnsi="宋体" w:eastAsia="宋体" w:cs="宋体"/>
                <w:bCs/>
                <w:snapToGrid w:val="0"/>
                <w:sz w:val="24"/>
                <w:szCs w:val="24"/>
                <w:lang w:val="en-US" w:eastAsia="zh-CN"/>
              </w:rPr>
              <w:t>（4）竞选人自2019年1月1日起至竞选截止日的具有1项及以上类似工程施工业绩。（以上日期以合同签订时间为准，竞选人需提供合同复印件，加盖竞选人单位公章）。</w:t>
            </w:r>
            <w:bookmarkEnd w:id="0"/>
          </w:p>
        </w:tc>
      </w:tr>
      <w:tr>
        <w:tblPrEx>
          <w:tblCellMar>
            <w:top w:w="0" w:type="dxa"/>
            <w:left w:w="0" w:type="dxa"/>
            <w:bottom w:w="0" w:type="dxa"/>
            <w:right w:w="0" w:type="dxa"/>
          </w:tblCellMar>
        </w:tblPrEx>
        <w:trPr>
          <w:trHeight w:val="608" w:hRule="atLeast"/>
        </w:trPr>
        <w:tc>
          <w:tcPr>
            <w:tcW w:w="22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ascii="宋体" w:hAnsi="宋体" w:eastAsia="宋体" w:cs="宋体"/>
                <w:sz w:val="24"/>
                <w:szCs w:val="24"/>
              </w:rPr>
            </w:pPr>
            <w:r>
              <w:rPr>
                <w:rFonts w:hint="eastAsia" w:ascii="宋体" w:hAnsi="宋体" w:eastAsia="宋体" w:cs="宋体"/>
                <w:sz w:val="24"/>
                <w:szCs w:val="24"/>
              </w:rPr>
              <w:t>合同工期</w:t>
            </w:r>
          </w:p>
        </w:tc>
        <w:tc>
          <w:tcPr>
            <w:tcW w:w="752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合同签订后30个日历天内完工。</w:t>
            </w:r>
          </w:p>
        </w:tc>
      </w:tr>
      <w:tr>
        <w:tblPrEx>
          <w:tblCellMar>
            <w:top w:w="0" w:type="dxa"/>
            <w:left w:w="0" w:type="dxa"/>
            <w:bottom w:w="0" w:type="dxa"/>
            <w:right w:w="0" w:type="dxa"/>
          </w:tblCellMar>
        </w:tblPrEx>
        <w:trPr>
          <w:trHeight w:val="608" w:hRule="atLeast"/>
        </w:trPr>
        <w:tc>
          <w:tcPr>
            <w:tcW w:w="22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eastAsia" w:ascii="宋体" w:hAnsi="宋体" w:eastAsia="宋体" w:cs="宋体"/>
                <w:sz w:val="24"/>
                <w:szCs w:val="24"/>
              </w:rPr>
            </w:pPr>
            <w:r>
              <w:rPr>
                <w:rFonts w:hint="eastAsia" w:ascii="宋体" w:hAnsi="宋体" w:eastAsia="宋体" w:cs="宋体"/>
                <w:sz w:val="24"/>
                <w:szCs w:val="24"/>
              </w:rPr>
              <w:t>采购限价</w:t>
            </w:r>
          </w:p>
        </w:tc>
        <w:tc>
          <w:tcPr>
            <w:tcW w:w="752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43.6</w:t>
            </w:r>
            <w:r>
              <w:rPr>
                <w:rFonts w:hint="eastAsia" w:ascii="宋体" w:hAnsi="宋体" w:eastAsia="宋体" w:cs="宋体"/>
                <w:sz w:val="24"/>
                <w:szCs w:val="24"/>
              </w:rPr>
              <w:t>万元。</w:t>
            </w:r>
          </w:p>
        </w:tc>
      </w:tr>
      <w:tr>
        <w:tblPrEx>
          <w:tblCellMar>
            <w:top w:w="0" w:type="dxa"/>
            <w:left w:w="0" w:type="dxa"/>
            <w:bottom w:w="0" w:type="dxa"/>
            <w:right w:w="0" w:type="dxa"/>
          </w:tblCellMar>
        </w:tblPrEx>
        <w:trPr>
          <w:trHeight w:val="608" w:hRule="atLeast"/>
        </w:trPr>
        <w:tc>
          <w:tcPr>
            <w:tcW w:w="22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eastAsia" w:ascii="宋体" w:hAnsi="宋体" w:eastAsia="宋体" w:cs="宋体"/>
                <w:sz w:val="24"/>
                <w:szCs w:val="24"/>
              </w:rPr>
            </w:pPr>
            <w:r>
              <w:rPr>
                <w:rFonts w:hint="eastAsia" w:ascii="宋体" w:hAnsi="宋体" w:eastAsia="宋体" w:cs="宋体"/>
                <w:sz w:val="24"/>
                <w:szCs w:val="24"/>
              </w:rPr>
              <w:t>方案要求</w:t>
            </w:r>
          </w:p>
        </w:tc>
        <w:tc>
          <w:tcPr>
            <w:tcW w:w="752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eastAsia" w:ascii="宋体" w:hAnsi="宋体" w:eastAsia="宋体" w:cs="宋体"/>
                <w:sz w:val="24"/>
                <w:szCs w:val="24"/>
              </w:rPr>
            </w:pPr>
            <w:r>
              <w:rPr>
                <w:rFonts w:hint="eastAsia" w:ascii="宋体" w:hAnsi="宋体" w:eastAsia="宋体" w:cs="宋体"/>
                <w:sz w:val="24"/>
                <w:szCs w:val="24"/>
              </w:rPr>
              <w:t>采购人的方案要求见附件。</w:t>
            </w:r>
          </w:p>
        </w:tc>
      </w:tr>
      <w:tr>
        <w:tblPrEx>
          <w:tblCellMar>
            <w:top w:w="0" w:type="dxa"/>
            <w:left w:w="0" w:type="dxa"/>
            <w:bottom w:w="0" w:type="dxa"/>
            <w:right w:w="0" w:type="dxa"/>
          </w:tblCellMar>
        </w:tblPrEx>
        <w:trPr>
          <w:trHeight w:val="1040" w:hRule="atLeast"/>
        </w:trPr>
        <w:tc>
          <w:tcPr>
            <w:tcW w:w="22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eastAsia" w:ascii="宋体" w:hAnsi="宋体" w:eastAsia="宋体" w:cs="宋体"/>
                <w:sz w:val="24"/>
                <w:szCs w:val="24"/>
              </w:rPr>
            </w:pPr>
            <w:r>
              <w:rPr>
                <w:rFonts w:hint="eastAsia" w:ascii="宋体" w:hAnsi="宋体" w:eastAsia="宋体" w:cs="宋体"/>
                <w:sz w:val="24"/>
                <w:szCs w:val="24"/>
              </w:rPr>
              <w:t>择优方式</w:t>
            </w:r>
          </w:p>
        </w:tc>
        <w:tc>
          <w:tcPr>
            <w:tcW w:w="752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pStyle w:val="11"/>
              <w:spacing w:line="300" w:lineRule="exact"/>
              <w:rPr>
                <w:rFonts w:hint="eastAsia" w:ascii="宋体" w:hAnsi="宋体" w:eastAsia="宋体" w:cs="宋体"/>
              </w:rPr>
            </w:pPr>
            <w:r>
              <w:rPr>
                <w:rFonts w:hint="eastAsia" w:ascii="宋体" w:hAnsi="宋体" w:eastAsia="宋体" w:cs="宋体"/>
              </w:rPr>
              <w:t>采购人对竞选人提交的相应方案进行综合评审，择优选择2家及以上的竞选人，并在评审当天通知竞选人提交书面报价，其中报价最低的竞选人确定为成交人，所报价格即为合同成交价格。</w:t>
            </w:r>
          </w:p>
        </w:tc>
      </w:tr>
      <w:tr>
        <w:tblPrEx>
          <w:tblCellMar>
            <w:top w:w="0" w:type="dxa"/>
            <w:left w:w="0" w:type="dxa"/>
            <w:bottom w:w="0" w:type="dxa"/>
            <w:right w:w="0" w:type="dxa"/>
          </w:tblCellMar>
        </w:tblPrEx>
        <w:trPr>
          <w:trHeight w:val="608" w:hRule="atLeast"/>
        </w:trPr>
        <w:tc>
          <w:tcPr>
            <w:tcW w:w="22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eastAsia" w:ascii="宋体" w:hAnsi="宋体" w:eastAsia="宋体" w:cs="宋体"/>
                <w:sz w:val="24"/>
                <w:szCs w:val="24"/>
              </w:rPr>
            </w:pPr>
            <w:r>
              <w:rPr>
                <w:rFonts w:hint="eastAsia" w:ascii="宋体" w:hAnsi="宋体" w:eastAsia="宋体" w:cs="宋体"/>
                <w:sz w:val="24"/>
                <w:szCs w:val="24"/>
              </w:rPr>
              <w:t>采购公告发布时间</w:t>
            </w:r>
          </w:p>
        </w:tc>
        <w:tc>
          <w:tcPr>
            <w:tcW w:w="752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年1月</w:t>
            </w: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12：00</w:t>
            </w:r>
          </w:p>
        </w:tc>
      </w:tr>
      <w:tr>
        <w:tblPrEx>
          <w:tblCellMar>
            <w:top w:w="0" w:type="dxa"/>
            <w:left w:w="0" w:type="dxa"/>
            <w:bottom w:w="0" w:type="dxa"/>
            <w:right w:w="0" w:type="dxa"/>
          </w:tblCellMar>
        </w:tblPrEx>
        <w:trPr>
          <w:trHeight w:val="608" w:hRule="atLeast"/>
        </w:trPr>
        <w:tc>
          <w:tcPr>
            <w:tcW w:w="22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eastAsia" w:ascii="宋体" w:hAnsi="宋体" w:eastAsia="宋体" w:cs="宋体"/>
                <w:sz w:val="24"/>
                <w:szCs w:val="24"/>
              </w:rPr>
            </w:pPr>
            <w:r>
              <w:rPr>
                <w:rFonts w:hint="eastAsia" w:ascii="宋体" w:hAnsi="宋体" w:eastAsia="宋体" w:cs="宋体"/>
                <w:sz w:val="24"/>
                <w:szCs w:val="24"/>
              </w:rPr>
              <w:t>竞选截止时间</w:t>
            </w:r>
          </w:p>
        </w:tc>
        <w:tc>
          <w:tcPr>
            <w:tcW w:w="752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年1月</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12：00</w:t>
            </w:r>
          </w:p>
        </w:tc>
      </w:tr>
      <w:tr>
        <w:tblPrEx>
          <w:tblCellMar>
            <w:top w:w="0" w:type="dxa"/>
            <w:left w:w="0" w:type="dxa"/>
            <w:bottom w:w="0" w:type="dxa"/>
            <w:right w:w="0" w:type="dxa"/>
          </w:tblCellMar>
        </w:tblPrEx>
        <w:trPr>
          <w:trHeight w:val="608" w:hRule="atLeast"/>
        </w:trPr>
        <w:tc>
          <w:tcPr>
            <w:tcW w:w="22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eastAsia" w:ascii="宋体" w:hAnsi="宋体" w:eastAsia="宋体" w:cs="宋体"/>
                <w:sz w:val="24"/>
                <w:szCs w:val="24"/>
              </w:rPr>
            </w:pPr>
            <w:r>
              <w:rPr>
                <w:rFonts w:hint="eastAsia" w:ascii="宋体" w:hAnsi="宋体" w:eastAsia="宋体" w:cs="宋体"/>
                <w:sz w:val="24"/>
                <w:szCs w:val="24"/>
              </w:rPr>
              <w:t>采购人联系方式</w:t>
            </w:r>
          </w:p>
        </w:tc>
        <w:tc>
          <w:tcPr>
            <w:tcW w:w="752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320" w:lineRule="exact"/>
              <w:rPr>
                <w:rFonts w:ascii="宋体" w:hAnsi="宋体" w:eastAsia="宋体" w:cs="宋体"/>
                <w:sz w:val="24"/>
                <w:szCs w:val="24"/>
              </w:rPr>
            </w:pPr>
            <w:r>
              <w:rPr>
                <w:rFonts w:hint="eastAsia" w:ascii="宋体" w:hAnsi="宋体" w:eastAsia="宋体" w:cs="宋体"/>
                <w:sz w:val="24"/>
                <w:szCs w:val="24"/>
              </w:rPr>
              <w:t>联系人：王老师，  电话：023-62850296</w:t>
            </w:r>
          </w:p>
        </w:tc>
      </w:tr>
      <w:tr>
        <w:tblPrEx>
          <w:tblCellMar>
            <w:top w:w="0" w:type="dxa"/>
            <w:left w:w="0" w:type="dxa"/>
            <w:bottom w:w="0" w:type="dxa"/>
            <w:right w:w="0" w:type="dxa"/>
          </w:tblCellMar>
        </w:tblPrEx>
        <w:trPr>
          <w:trHeight w:val="608" w:hRule="atLeast"/>
        </w:trPr>
        <w:tc>
          <w:tcPr>
            <w:tcW w:w="22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eastAsia" w:ascii="宋体" w:hAnsi="宋体" w:eastAsia="宋体" w:cs="宋体"/>
                <w:sz w:val="24"/>
                <w:szCs w:val="24"/>
              </w:rPr>
            </w:pPr>
            <w:r>
              <w:rPr>
                <w:rFonts w:hint="eastAsia" w:ascii="宋体" w:hAnsi="宋体" w:eastAsia="宋体" w:cs="宋体"/>
                <w:sz w:val="24"/>
                <w:szCs w:val="24"/>
              </w:rPr>
              <w:t>采购人地址</w:t>
            </w:r>
          </w:p>
        </w:tc>
        <w:tc>
          <w:tcPr>
            <w:tcW w:w="752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eastAsia" w:ascii="宋体" w:hAnsi="宋体" w:eastAsia="宋体" w:cs="宋体"/>
                <w:sz w:val="24"/>
                <w:szCs w:val="24"/>
              </w:rPr>
            </w:pPr>
            <w:r>
              <w:rPr>
                <w:rFonts w:hint="eastAsia" w:ascii="宋体" w:hAnsi="宋体" w:eastAsia="宋体" w:cs="宋体"/>
                <w:sz w:val="24"/>
                <w:szCs w:val="24"/>
              </w:rPr>
              <w:t>重庆市渝北区夏家坝智慧固废物流转运港</w:t>
            </w:r>
          </w:p>
        </w:tc>
      </w:tr>
    </w:tbl>
    <w:p>
      <w:pPr>
        <w:pStyle w:val="3"/>
        <w:ind w:firstLine="0"/>
        <w:rPr>
          <w:rFonts w:hint="eastAsia" w:eastAsia="宋体" w:cs="宋体"/>
          <w:szCs w:val="24"/>
        </w:rPr>
      </w:pPr>
    </w:p>
    <w:p>
      <w:pPr>
        <w:pStyle w:val="3"/>
        <w:ind w:firstLine="0"/>
        <w:rPr>
          <w:rFonts w:hint="eastAsia" w:eastAsia="宋体" w:cs="宋体"/>
          <w:szCs w:val="24"/>
        </w:rPr>
      </w:pPr>
    </w:p>
    <w:p>
      <w:pPr>
        <w:pStyle w:val="3"/>
        <w:ind w:firstLine="0"/>
        <w:rPr>
          <w:rFonts w:hint="eastAsia" w:eastAsia="宋体" w:cs="宋体"/>
          <w:szCs w:val="24"/>
        </w:rPr>
      </w:pPr>
      <w:r>
        <w:rPr>
          <w:rFonts w:hint="eastAsia" w:eastAsia="宋体" w:cs="宋体"/>
          <w:szCs w:val="24"/>
        </w:rPr>
        <w:t>附件</w:t>
      </w:r>
    </w:p>
    <w:p>
      <w:pPr>
        <w:pStyle w:val="3"/>
        <w:spacing w:line="720" w:lineRule="atLeast"/>
        <w:ind w:firstLine="0"/>
        <w:jc w:val="center"/>
        <w:rPr>
          <w:rFonts w:hint="eastAsia" w:eastAsia="宋体" w:cs="宋体"/>
          <w:b/>
          <w:sz w:val="30"/>
          <w:szCs w:val="30"/>
        </w:rPr>
      </w:pPr>
      <w:r>
        <w:rPr>
          <w:rFonts w:hint="eastAsia" w:eastAsia="宋体" w:cs="宋体"/>
          <w:b/>
          <w:sz w:val="30"/>
          <w:szCs w:val="30"/>
          <w:lang w:val="en-US" w:eastAsia="zh-CN"/>
        </w:rPr>
        <w:t>龙羽站基础设施修缮</w:t>
      </w:r>
      <w:r>
        <w:rPr>
          <w:rFonts w:hint="eastAsia" w:eastAsia="宋体" w:cs="宋体"/>
          <w:b/>
          <w:sz w:val="30"/>
          <w:szCs w:val="30"/>
        </w:rPr>
        <w:t>工程采购方案要求</w:t>
      </w:r>
    </w:p>
    <w:p>
      <w:pPr>
        <w:pStyle w:val="3"/>
        <w:jc w:val="center"/>
        <w:rPr>
          <w:rFonts w:hint="eastAsia" w:eastAsia="宋体" w:cs="宋体"/>
          <w:b/>
          <w:sz w:val="30"/>
          <w:szCs w:val="30"/>
          <w:lang w:eastAsia="zh-CN"/>
        </w:rPr>
      </w:pPr>
      <w:bookmarkStart w:id="1" w:name="_Toc267320050"/>
      <w:r>
        <w:rPr>
          <w:rFonts w:hint="eastAsia" w:eastAsia="宋体" w:cs="宋体"/>
          <w:b/>
          <w:sz w:val="30"/>
          <w:szCs w:val="30"/>
        </w:rPr>
        <w:t>方案内容及技术要求</w:t>
      </w:r>
    </w:p>
    <w:bookmarkEnd w:id="1"/>
    <w:p>
      <w:pPr>
        <w:spacing w:line="560" w:lineRule="exact"/>
        <w:ind w:firstLine="640" w:firstLineChars="200"/>
        <w:contextualSpacing/>
        <w:rPr>
          <w:rFonts w:ascii="方正仿宋_GBK" w:hAnsi="仿宋_GB2312"/>
          <w:szCs w:val="32"/>
        </w:rPr>
      </w:pPr>
    </w:p>
    <w:tbl>
      <w:tblPr>
        <w:tblStyle w:val="9"/>
        <w:tblW w:w="97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1"/>
        <w:gridCol w:w="1698"/>
        <w:gridCol w:w="3171"/>
        <w:gridCol w:w="875"/>
        <w:gridCol w:w="914"/>
        <w:gridCol w:w="2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6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1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施工作业内容</w:t>
            </w:r>
          </w:p>
        </w:tc>
        <w:tc>
          <w:tcPr>
            <w:tcW w:w="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技术要求及施工措施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修补混凝土路面</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[项目特征]                             1.300mm厚C30商品混凝土浇筑                                 [工作内容]                                                                                          1.切割、机械撤除破损路面混凝土                                                                       2.平整、夯实                                                   3.振捣浇筑                              4.找平                                    5.切割伸缩缝                                 6.养护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1.路面设计载重40T               2.采取相应措施，不影响场内正常运行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修补沥青混凝土路面</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[项目特征]                             1.沥青混凝土种类：AC-13沥青混凝土       2.厚度：5cm厚                              [工作内容]                                 1.路面凿毛                                    2.路面清理                                  3.喷油、封底 、摊铺、整形                                                                                                                                     4.压实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1.路面设计载重40T               2.采取相应措施，不影响场内正常运行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增设排水管</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1.开挖沥青混凝土路面及土石方               2.安装300cm钢带双壁波纹排水管、混凝土包封                      3.混凝土浇筑雨水口及水密子安装            4.恢复沥青混凝土路面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1.路面设计载重40T               2.采取相应措施，不影响场内正常运行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修补井盖、井座</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1.切割、人工凿除破损混凝土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2.校正井盖座子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3.浇筑C30砼                                    4.恢复沥青混凝土路面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1.拆改修补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1.设计载重50T               2.采取相应措施，不影响场内正常运行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更换路缘石</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[工作内容]                               1.撤除原有破损的路缘石                      2.清理基层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3.重新安装混凝土路缘石                           4.恢复绿化                         5.路缘石刷漆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更换地面砖</w:t>
            </w:r>
          </w:p>
        </w:tc>
        <w:tc>
          <w:tcPr>
            <w:tcW w:w="3171" w:type="dxa"/>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Style w:val="14"/>
                <w:lang w:val="en-US" w:eastAsia="zh-CN" w:bidi="ar"/>
              </w:rPr>
              <w:t xml:space="preserve">                                     1.撤除原有破损的地面砖                       2.重新安装600*600地面砖                     </w:t>
            </w:r>
          </w:p>
        </w:tc>
        <w:tc>
          <w:tcPr>
            <w:tcW w:w="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内墙漆涂料</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after="180" w:afterAutospacing="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[项目特征]                             1.涂料部位：内墙                    2.刮腻子要求：低层腻子2遍                     3.涂料要求：多乐士面漆2遍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1.脚手架搭设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2.铲除原有内墙漆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3.修补基层                            4.刮腻子                              5.喷刷涂料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排水管安装</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[工作内容]                             1.开挖土石方                        2.铺设200cmPVC300排水管                               3.回填土方                      4.恢复绿化带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梯打沥青混凝土路面</w:t>
            </w:r>
          </w:p>
        </w:tc>
        <w:tc>
          <w:tcPr>
            <w:tcW w:w="3171" w:type="dxa"/>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                                 1.切缝                            2.梯打沥青混凝土路面10cm宽、7cm深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屋面防水</w:t>
            </w:r>
          </w:p>
        </w:tc>
        <w:tc>
          <w:tcPr>
            <w:tcW w:w="3171" w:type="dxa"/>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                           1.撤除原有屋面防水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2.基层处理、基层清理                       3.聚氨酯防水涂料                            4.自粘聚合物改性沥青卷材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安装防滑带</w:t>
            </w:r>
          </w:p>
        </w:tc>
        <w:tc>
          <w:tcPr>
            <w:tcW w:w="3171" w:type="dxa"/>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1.切缝、梯打15cm宽、10cm深混凝土路面                               2.重新浇筑彩色混凝土防滑条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机型进出场</w:t>
            </w:r>
          </w:p>
        </w:tc>
        <w:tc>
          <w:tcPr>
            <w:tcW w:w="3171" w:type="dxa"/>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1.150挖机 、 混凝土铣刨机、摊铺机、压路机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出渣</w:t>
            </w:r>
          </w:p>
        </w:tc>
        <w:tc>
          <w:tcPr>
            <w:tcW w:w="31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出渣、清运、弃置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bl>
    <w:p>
      <w:pPr>
        <w:pStyle w:val="8"/>
        <w:ind w:left="640"/>
        <w:rPr>
          <w:rFonts w:ascii="方正仿宋_GBK" w:hAnsi="仿宋_GB2312"/>
          <w:szCs w:val="32"/>
        </w:rPr>
      </w:pPr>
    </w:p>
    <w:p>
      <w:pPr>
        <w:pStyle w:val="8"/>
        <w:ind w:left="640"/>
        <w:rPr>
          <w:rFonts w:ascii="方正仿宋_GBK" w:hAnsi="仿宋_GB2312"/>
          <w:szCs w:val="32"/>
        </w:rPr>
      </w:pPr>
    </w:p>
    <w:p>
      <w:pPr>
        <w:pStyle w:val="8"/>
        <w:ind w:left="640"/>
        <w:rPr>
          <w:rFonts w:ascii="方正仿宋_GBK" w:hAnsi="仿宋_GB2312"/>
          <w:szCs w:val="32"/>
        </w:rPr>
      </w:pPr>
    </w:p>
    <w:p>
      <w:pPr>
        <w:pStyle w:val="3"/>
        <w:jc w:val="center"/>
        <w:rPr>
          <w:rFonts w:hint="eastAsia" w:eastAsia="宋体" w:cs="宋体"/>
          <w:b/>
          <w:sz w:val="30"/>
          <w:szCs w:val="30"/>
        </w:rPr>
      </w:pPr>
      <w:r>
        <w:rPr>
          <w:rFonts w:hint="eastAsia" w:eastAsia="宋体" w:cs="宋体"/>
          <w:b/>
          <w:sz w:val="30"/>
          <w:szCs w:val="30"/>
        </w:rPr>
        <w:t>商务要求</w:t>
      </w:r>
    </w:p>
    <w:p>
      <w:pPr>
        <w:rPr>
          <w:rFonts w:hint="eastAsia" w:ascii="宋体" w:hAnsi="宋体" w:eastAsia="宋体" w:cs="宋体"/>
          <w:b/>
          <w:sz w:val="24"/>
          <w:szCs w:val="24"/>
        </w:rPr>
      </w:pPr>
      <w:r>
        <w:rPr>
          <w:rFonts w:hint="eastAsia" w:ascii="宋体" w:hAnsi="宋体" w:eastAsia="宋体" w:cs="宋体"/>
          <w:b/>
          <w:sz w:val="24"/>
          <w:szCs w:val="24"/>
        </w:rPr>
        <w:t>一．踏勘现场</w:t>
      </w:r>
    </w:p>
    <w:p>
      <w:pPr>
        <w:ind w:firstLine="480" w:firstLineChars="200"/>
        <w:rPr>
          <w:rFonts w:hint="eastAsia"/>
        </w:rPr>
      </w:pPr>
      <w:r>
        <w:rPr>
          <w:rFonts w:hint="eastAsia" w:ascii="宋体" w:hAnsi="宋体" w:eastAsia="宋体" w:cs="宋体"/>
          <w:sz w:val="24"/>
          <w:szCs w:val="24"/>
        </w:rPr>
        <w:t>竞选人可在竞选公示截至日前自行踏勘现场，</w:t>
      </w:r>
      <w:r>
        <w:rPr>
          <w:rFonts w:hint="eastAsia" w:ascii="宋体" w:hAnsi="宋体" w:eastAsia="宋体" w:cs="宋体"/>
          <w:sz w:val="24"/>
          <w:szCs w:val="24"/>
          <w:lang w:eastAsia="zh-CN"/>
        </w:rPr>
        <w:t>相</w:t>
      </w:r>
      <w:r>
        <w:rPr>
          <w:rFonts w:hint="eastAsia" w:ascii="宋体" w:hAnsi="宋体" w:eastAsia="宋体" w:cs="宋体"/>
          <w:sz w:val="24"/>
          <w:szCs w:val="24"/>
        </w:rPr>
        <w:t>关费用自理，</w:t>
      </w:r>
      <w:r>
        <w:rPr>
          <w:rFonts w:hint="eastAsia" w:ascii="宋体" w:hAnsi="宋体" w:eastAsia="宋体" w:cs="宋体"/>
          <w:sz w:val="24"/>
          <w:szCs w:val="24"/>
          <w:lang w:eastAsia="zh-CN"/>
        </w:rPr>
        <w:t>在采购人所属区域内，因竞选人原因造成的一切事故责任或经济损失，全部由竞选人承担</w:t>
      </w:r>
      <w:r>
        <w:rPr>
          <w:rFonts w:hint="eastAsia" w:ascii="宋体" w:hAnsi="宋体" w:eastAsia="宋体" w:cs="宋体"/>
          <w:sz w:val="24"/>
          <w:szCs w:val="24"/>
        </w:rPr>
        <w:t>。</w:t>
      </w:r>
    </w:p>
    <w:p>
      <w:pPr>
        <w:pStyle w:val="4"/>
        <w:keepNext w:val="0"/>
        <w:keepLines w:val="0"/>
        <w:kinsoku w:val="0"/>
        <w:overflowPunct w:val="0"/>
        <w:autoSpaceDE w:val="0"/>
        <w:autoSpaceDN w:val="0"/>
        <w:spacing w:line="440" w:lineRule="exact"/>
        <w:rPr>
          <w:rFonts w:eastAsia="宋体" w:cs="宋体"/>
          <w:b/>
          <w:sz w:val="24"/>
          <w:szCs w:val="24"/>
        </w:rPr>
      </w:pPr>
      <w:r>
        <w:rPr>
          <w:rFonts w:hint="eastAsia" w:eastAsia="宋体" w:cs="宋体"/>
          <w:b/>
          <w:sz w:val="24"/>
          <w:szCs w:val="24"/>
        </w:rPr>
        <w:t>二．合同签订</w:t>
      </w:r>
    </w:p>
    <w:p>
      <w:pPr>
        <w:widowControl/>
        <w:ind w:firstLine="480" w:firstLineChars="200"/>
        <w:jc w:val="left"/>
      </w:pPr>
      <w:r>
        <w:rPr>
          <w:rFonts w:hint="eastAsia" w:ascii="宋体" w:hAnsi="宋体" w:eastAsia="宋体" w:cs="宋体"/>
          <w:sz w:val="24"/>
          <w:szCs w:val="24"/>
        </w:rPr>
        <w:t>采购结果公示期满后3个工作日内向</w:t>
      </w:r>
      <w:r>
        <w:rPr>
          <w:rFonts w:hint="eastAsia" w:ascii="宋体" w:hAnsi="宋体" w:eastAsia="宋体" w:cs="宋体"/>
          <w:sz w:val="24"/>
          <w:szCs w:val="24"/>
          <w:lang w:eastAsia="zh-CN"/>
        </w:rPr>
        <w:t>竞选</w:t>
      </w:r>
      <w:r>
        <w:rPr>
          <w:rFonts w:hint="eastAsia" w:ascii="宋体" w:hAnsi="宋体" w:eastAsia="宋体" w:cs="宋体"/>
          <w:sz w:val="24"/>
          <w:szCs w:val="24"/>
        </w:rPr>
        <w:t>人发放《</w:t>
      </w:r>
      <w:r>
        <w:rPr>
          <w:rFonts w:hint="eastAsia" w:ascii="宋体" w:hAnsi="宋体" w:eastAsia="宋体" w:cs="宋体"/>
          <w:sz w:val="24"/>
          <w:szCs w:val="24"/>
          <w:lang w:val="en-US" w:eastAsia="zh-CN"/>
        </w:rPr>
        <w:t>成交</w:t>
      </w:r>
      <w:r>
        <w:rPr>
          <w:rFonts w:hint="eastAsia" w:ascii="宋体" w:hAnsi="宋体" w:eastAsia="宋体" w:cs="宋体"/>
          <w:sz w:val="24"/>
          <w:szCs w:val="24"/>
        </w:rPr>
        <w:t>通知书》，</w:t>
      </w:r>
      <w:r>
        <w:rPr>
          <w:rFonts w:hint="eastAsia" w:ascii="宋体" w:hAnsi="宋体" w:eastAsia="宋体" w:cs="宋体"/>
          <w:sz w:val="24"/>
          <w:szCs w:val="24"/>
          <w:lang w:eastAsia="zh-CN"/>
        </w:rPr>
        <w:t>竞选</w:t>
      </w:r>
      <w:r>
        <w:rPr>
          <w:rFonts w:hint="eastAsia" w:ascii="宋体" w:hAnsi="宋体" w:eastAsia="宋体" w:cs="宋体"/>
          <w:sz w:val="24"/>
          <w:szCs w:val="24"/>
        </w:rPr>
        <w:t>人应按《</w:t>
      </w:r>
      <w:r>
        <w:rPr>
          <w:rFonts w:hint="eastAsia" w:ascii="宋体" w:hAnsi="宋体" w:eastAsia="宋体" w:cs="宋体"/>
          <w:sz w:val="24"/>
          <w:szCs w:val="24"/>
          <w:lang w:val="en-US" w:eastAsia="zh-CN"/>
        </w:rPr>
        <w:t>成交</w:t>
      </w:r>
      <w:r>
        <w:rPr>
          <w:rFonts w:hint="eastAsia" w:ascii="宋体" w:hAnsi="宋体" w:eastAsia="宋体" w:cs="宋体"/>
          <w:sz w:val="24"/>
          <w:szCs w:val="24"/>
        </w:rPr>
        <w:t>通知书》指定的时间、地点与采购人签订合同。</w:t>
      </w:r>
    </w:p>
    <w:p>
      <w:pPr>
        <w:pStyle w:val="4"/>
        <w:keepNext w:val="0"/>
        <w:keepLines w:val="0"/>
        <w:kinsoku w:val="0"/>
        <w:overflowPunct w:val="0"/>
        <w:autoSpaceDE w:val="0"/>
        <w:autoSpaceDN w:val="0"/>
        <w:spacing w:line="440" w:lineRule="exact"/>
        <w:rPr>
          <w:rFonts w:hint="eastAsia" w:eastAsia="宋体" w:cs="宋体"/>
          <w:b/>
          <w:sz w:val="24"/>
          <w:szCs w:val="24"/>
        </w:rPr>
      </w:pPr>
      <w:r>
        <w:rPr>
          <w:rFonts w:hint="eastAsia" w:eastAsia="宋体" w:cs="宋体"/>
          <w:b/>
          <w:sz w:val="24"/>
          <w:szCs w:val="24"/>
        </w:rPr>
        <w:t>三．工程质量</w:t>
      </w:r>
    </w:p>
    <w:p>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1.符合工程建设各项规范和技术标准及政府部门有关质量管理的规章制度。</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2.因</w:t>
      </w:r>
      <w:r>
        <w:rPr>
          <w:rFonts w:hint="eastAsia" w:ascii="宋体" w:hAnsi="宋体" w:eastAsia="宋体" w:cs="宋体"/>
          <w:sz w:val="24"/>
          <w:szCs w:val="24"/>
          <w:lang w:eastAsia="zh-CN"/>
        </w:rPr>
        <w:t>竞选</w:t>
      </w:r>
      <w:r>
        <w:rPr>
          <w:rFonts w:hint="eastAsia" w:ascii="宋体" w:hAnsi="宋体" w:eastAsia="宋体" w:cs="宋体"/>
          <w:sz w:val="24"/>
          <w:szCs w:val="24"/>
        </w:rPr>
        <w:t>人原因造成工程质量达不到合同约定验收标准的，采购人有权要求</w:t>
      </w:r>
      <w:r>
        <w:rPr>
          <w:rFonts w:hint="eastAsia" w:ascii="宋体" w:hAnsi="宋体" w:eastAsia="宋体" w:cs="宋体"/>
          <w:sz w:val="24"/>
          <w:szCs w:val="24"/>
          <w:lang w:eastAsia="zh-CN"/>
        </w:rPr>
        <w:t>竞选</w:t>
      </w:r>
      <w:r>
        <w:rPr>
          <w:rFonts w:hint="eastAsia" w:ascii="宋体" w:hAnsi="宋体" w:eastAsia="宋体" w:cs="宋体"/>
          <w:sz w:val="24"/>
          <w:szCs w:val="24"/>
        </w:rPr>
        <w:t>人返工直至符</w:t>
      </w:r>
      <w:r>
        <w:rPr>
          <w:rFonts w:hint="eastAsia" w:ascii="宋体" w:hAnsi="宋体" w:eastAsia="宋体" w:cs="宋体"/>
          <w:sz w:val="24"/>
          <w:szCs w:val="24"/>
          <w:lang w:eastAsia="zh-CN"/>
        </w:rPr>
        <w:t>本方案相关标准</w:t>
      </w:r>
      <w:r>
        <w:rPr>
          <w:rFonts w:hint="eastAsia" w:ascii="宋体" w:hAnsi="宋体" w:eastAsia="宋体" w:cs="宋体"/>
          <w:sz w:val="24"/>
          <w:szCs w:val="24"/>
        </w:rPr>
        <w:t>为止，由此造成的</w:t>
      </w:r>
      <w:r>
        <w:rPr>
          <w:rFonts w:hint="eastAsia" w:ascii="宋体" w:hAnsi="宋体" w:eastAsia="宋体" w:cs="宋体"/>
          <w:sz w:val="24"/>
          <w:szCs w:val="24"/>
          <w:lang w:eastAsia="zh-CN"/>
        </w:rPr>
        <w:t>一切损失</w:t>
      </w:r>
      <w:r>
        <w:rPr>
          <w:rFonts w:hint="eastAsia" w:ascii="宋体" w:hAnsi="宋体" w:eastAsia="宋体" w:cs="宋体"/>
          <w:sz w:val="24"/>
          <w:szCs w:val="24"/>
        </w:rPr>
        <w:t>由</w:t>
      </w:r>
      <w:r>
        <w:rPr>
          <w:rFonts w:hint="eastAsia" w:ascii="宋体" w:hAnsi="宋体" w:eastAsia="宋体" w:cs="宋体"/>
          <w:sz w:val="24"/>
          <w:szCs w:val="24"/>
          <w:lang w:eastAsia="zh-CN"/>
        </w:rPr>
        <w:t>竞选</w:t>
      </w:r>
      <w:r>
        <w:rPr>
          <w:rFonts w:hint="eastAsia" w:ascii="宋体" w:hAnsi="宋体" w:eastAsia="宋体" w:cs="宋体"/>
          <w:sz w:val="24"/>
          <w:szCs w:val="24"/>
        </w:rPr>
        <w:t xml:space="preserve">人承担。 </w:t>
      </w:r>
    </w:p>
    <w:p>
      <w:pPr>
        <w:pStyle w:val="4"/>
        <w:keepNext w:val="0"/>
        <w:keepLines w:val="0"/>
        <w:kinsoku w:val="0"/>
        <w:overflowPunct w:val="0"/>
        <w:autoSpaceDE w:val="0"/>
        <w:autoSpaceDN w:val="0"/>
        <w:spacing w:line="440" w:lineRule="exact"/>
        <w:rPr>
          <w:rFonts w:eastAsia="宋体" w:cs="宋体"/>
          <w:b/>
          <w:sz w:val="24"/>
          <w:szCs w:val="24"/>
        </w:rPr>
      </w:pPr>
      <w:r>
        <w:rPr>
          <w:rFonts w:hint="eastAsia" w:eastAsia="宋体" w:cs="宋体"/>
          <w:b/>
          <w:sz w:val="24"/>
          <w:szCs w:val="24"/>
        </w:rPr>
        <w:t>四.验收标准</w:t>
      </w:r>
    </w:p>
    <w:p>
      <w:pPr>
        <w:widowControl/>
        <w:ind w:firstLine="480" w:firstLineChars="200"/>
        <w:jc w:val="left"/>
        <w:rPr>
          <w:rFonts w:ascii="宋体" w:hAnsi="宋体" w:eastAsia="宋体" w:cs="宋体"/>
          <w:sz w:val="24"/>
          <w:szCs w:val="24"/>
        </w:rPr>
      </w:pPr>
      <w:r>
        <w:rPr>
          <w:rFonts w:hint="eastAsia" w:ascii="宋体" w:hAnsi="宋体" w:eastAsia="宋体" w:cs="宋体"/>
          <w:sz w:val="24"/>
          <w:szCs w:val="24"/>
        </w:rPr>
        <w:t>参照国家及行业强制标准等进行验收，验收过程中所产生的</w:t>
      </w:r>
      <w:r>
        <w:rPr>
          <w:rFonts w:hint="eastAsia" w:ascii="宋体" w:hAnsi="宋体" w:eastAsia="宋体" w:cs="宋体"/>
          <w:sz w:val="24"/>
          <w:szCs w:val="24"/>
          <w:lang w:eastAsia="zh-CN"/>
        </w:rPr>
        <w:t>一切</w:t>
      </w:r>
      <w:r>
        <w:rPr>
          <w:rFonts w:hint="eastAsia" w:ascii="宋体" w:hAnsi="宋体" w:eastAsia="宋体" w:cs="宋体"/>
          <w:sz w:val="24"/>
          <w:szCs w:val="24"/>
        </w:rPr>
        <w:t>费用由</w:t>
      </w:r>
      <w:r>
        <w:rPr>
          <w:rFonts w:hint="eastAsia" w:ascii="宋体" w:hAnsi="宋体" w:eastAsia="宋体" w:cs="宋体"/>
          <w:sz w:val="24"/>
          <w:szCs w:val="24"/>
          <w:lang w:eastAsia="zh-CN"/>
        </w:rPr>
        <w:t>竞选</w:t>
      </w:r>
      <w:r>
        <w:rPr>
          <w:rFonts w:hint="eastAsia" w:ascii="宋体" w:hAnsi="宋体" w:eastAsia="宋体" w:cs="宋体"/>
          <w:sz w:val="24"/>
          <w:szCs w:val="24"/>
        </w:rPr>
        <w:t>人承担。</w:t>
      </w:r>
    </w:p>
    <w:p>
      <w:pPr>
        <w:pStyle w:val="4"/>
        <w:keepNext w:val="0"/>
        <w:keepLines w:val="0"/>
        <w:kinsoku w:val="0"/>
        <w:overflowPunct w:val="0"/>
        <w:autoSpaceDE w:val="0"/>
        <w:autoSpaceDN w:val="0"/>
        <w:spacing w:line="440" w:lineRule="exact"/>
        <w:rPr>
          <w:rFonts w:hint="eastAsia" w:eastAsia="宋体" w:cs="宋体"/>
          <w:b/>
          <w:sz w:val="24"/>
          <w:szCs w:val="24"/>
        </w:rPr>
      </w:pPr>
      <w:r>
        <w:rPr>
          <w:rFonts w:hint="eastAsia" w:eastAsia="宋体" w:cs="宋体"/>
          <w:b/>
          <w:sz w:val="24"/>
          <w:szCs w:val="24"/>
        </w:rPr>
        <w:t>五.售后服务</w:t>
      </w:r>
    </w:p>
    <w:p>
      <w:pPr>
        <w:pStyle w:val="4"/>
        <w:keepNext w:val="0"/>
        <w:keepLines w:val="0"/>
        <w:kinsoku w:val="0"/>
        <w:overflowPunct w:val="0"/>
        <w:autoSpaceDE w:val="0"/>
        <w:autoSpaceDN w:val="0"/>
        <w:spacing w:line="440" w:lineRule="exact"/>
        <w:ind w:firstLine="480" w:firstLineChars="200"/>
        <w:rPr>
          <w:rFonts w:hint="eastAsia"/>
        </w:rPr>
      </w:pPr>
      <w:r>
        <w:rPr>
          <w:rFonts w:hint="eastAsia" w:eastAsia="宋体" w:cs="宋体"/>
          <w:sz w:val="24"/>
          <w:szCs w:val="24"/>
        </w:rPr>
        <w:t>1.</w:t>
      </w:r>
      <w:r>
        <w:rPr>
          <w:rFonts w:hint="eastAsia" w:eastAsia="宋体" w:cs="宋体"/>
          <w:sz w:val="24"/>
          <w:szCs w:val="24"/>
          <w:lang w:eastAsia="zh-CN"/>
        </w:rPr>
        <w:t>竞选</w:t>
      </w:r>
      <w:r>
        <w:rPr>
          <w:rFonts w:hint="eastAsia" w:eastAsia="宋体" w:cs="宋体"/>
          <w:sz w:val="24"/>
          <w:szCs w:val="24"/>
        </w:rPr>
        <w:t>人所供质保期从最终验收合格之日起计算，时间不低于12个月。</w:t>
      </w:r>
    </w:p>
    <w:p>
      <w:pPr>
        <w:pStyle w:val="4"/>
        <w:keepNext w:val="0"/>
        <w:keepLines w:val="0"/>
        <w:kinsoku w:val="0"/>
        <w:overflowPunct w:val="0"/>
        <w:autoSpaceDE w:val="0"/>
        <w:autoSpaceDN w:val="0"/>
        <w:spacing w:line="440" w:lineRule="exact"/>
        <w:ind w:firstLine="480" w:firstLineChars="200"/>
        <w:rPr>
          <w:rFonts w:hint="eastAsia" w:eastAsia="宋体" w:cs="宋体"/>
          <w:sz w:val="24"/>
          <w:szCs w:val="24"/>
        </w:rPr>
      </w:pPr>
      <w:r>
        <w:rPr>
          <w:rFonts w:hint="eastAsia" w:eastAsia="宋体" w:cs="宋体"/>
          <w:sz w:val="24"/>
          <w:szCs w:val="24"/>
        </w:rPr>
        <w:t>2.质保期内，</w:t>
      </w:r>
      <w:r>
        <w:rPr>
          <w:rFonts w:hint="eastAsia" w:eastAsia="宋体" w:cs="宋体"/>
          <w:sz w:val="24"/>
          <w:szCs w:val="24"/>
          <w:lang w:eastAsia="zh-CN"/>
        </w:rPr>
        <w:t>竞选</w:t>
      </w:r>
      <w:r>
        <w:rPr>
          <w:rFonts w:hint="eastAsia" w:eastAsia="宋体" w:cs="宋体"/>
          <w:sz w:val="24"/>
          <w:szCs w:val="24"/>
        </w:rPr>
        <w:t>人应负责所施工内容的维修、保养，由此产生的维修费用和配件费用自行承担（人为损坏除外），并</w:t>
      </w:r>
      <w:r>
        <w:rPr>
          <w:rFonts w:hint="eastAsia" w:eastAsia="宋体" w:cs="宋体"/>
          <w:sz w:val="24"/>
          <w:szCs w:val="24"/>
          <w:lang w:val="en-US" w:eastAsia="zh-CN"/>
        </w:rPr>
        <w:t>于三天</w:t>
      </w:r>
      <w:r>
        <w:rPr>
          <w:rFonts w:hint="eastAsia" w:eastAsia="宋体" w:cs="宋体"/>
          <w:sz w:val="24"/>
          <w:szCs w:val="24"/>
        </w:rPr>
        <w:t>内到达现场修复缺陷、解决问题。</w:t>
      </w:r>
    </w:p>
    <w:p>
      <w:pPr>
        <w:pStyle w:val="4"/>
        <w:spacing w:line="440" w:lineRule="exact"/>
        <w:rPr>
          <w:rFonts w:hint="eastAsia" w:eastAsia="宋体" w:cs="宋体"/>
          <w:b/>
          <w:sz w:val="24"/>
          <w:szCs w:val="24"/>
        </w:rPr>
      </w:pPr>
      <w:r>
        <w:rPr>
          <w:rFonts w:hint="eastAsia" w:eastAsia="宋体" w:cs="宋体"/>
          <w:b/>
          <w:sz w:val="24"/>
          <w:szCs w:val="24"/>
        </w:rPr>
        <w:t>六、付款方式</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1.本合同不支付预付款。</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工程完工经采购人验收合格后，竞选人提供满足税法规定的足额增值税专用发票以及采购人要求的其他支付或结算资料，双方办理完《结算单》等结算手续后15个工作日内，采购人向竞选人支付至结算金额的97%。</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3.留结算金额的3%作为合同质保金，待质保期满后双方办理完《质量保修责任期终止报告》后15个工作日内，经双方确认无任何工程质量缺陷后，采购人一次性无息支付给竞选人。</w:t>
      </w:r>
    </w:p>
    <w:p>
      <w:pPr>
        <w:pStyle w:val="4"/>
        <w:spacing w:line="440" w:lineRule="exact"/>
        <w:rPr>
          <w:rFonts w:eastAsia="宋体" w:cs="宋体"/>
          <w:b/>
          <w:sz w:val="24"/>
          <w:szCs w:val="24"/>
        </w:rPr>
      </w:pPr>
      <w:r>
        <w:rPr>
          <w:rFonts w:hint="eastAsia" w:eastAsia="宋体" w:cs="宋体"/>
          <w:b/>
          <w:sz w:val="24"/>
          <w:szCs w:val="24"/>
        </w:rPr>
        <w:t>七、其他说明</w:t>
      </w:r>
    </w:p>
    <w:p>
      <w:pPr>
        <w:pStyle w:val="8"/>
        <w:ind w:left="0" w:leftChars="0" w:firstLine="480"/>
        <w:rPr>
          <w:rFonts w:ascii="宋体" w:hAnsi="宋体" w:eastAsia="宋体" w:cs="宋体"/>
          <w:sz w:val="24"/>
          <w:szCs w:val="24"/>
        </w:rPr>
      </w:pPr>
      <w:r>
        <w:rPr>
          <w:rFonts w:hint="eastAsia" w:ascii="宋体" w:hAnsi="宋体" w:eastAsia="宋体" w:cs="宋体"/>
          <w:sz w:val="24"/>
          <w:szCs w:val="24"/>
          <w:lang w:eastAsia="zh-CN"/>
        </w:rPr>
        <w:t>一、竞选</w:t>
      </w:r>
      <w:r>
        <w:rPr>
          <w:rFonts w:hint="eastAsia" w:ascii="宋体" w:hAnsi="宋体" w:eastAsia="宋体" w:cs="宋体"/>
          <w:sz w:val="24"/>
          <w:szCs w:val="24"/>
        </w:rPr>
        <w:t>人需加强现场施工组织管理，严格遵守安全文明施工的有关规章制度和采购人相关制度。</w:t>
      </w:r>
    </w:p>
    <w:p>
      <w:pPr>
        <w:pStyle w:val="8"/>
        <w:ind w:left="0" w:leftChars="0" w:firstLine="480"/>
        <w:rPr>
          <w:rFonts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特种作业人员</w:t>
      </w:r>
      <w:r>
        <w:rPr>
          <w:rFonts w:hint="eastAsia" w:ascii="宋体" w:hAnsi="宋体" w:eastAsia="宋体" w:cs="宋体"/>
          <w:sz w:val="24"/>
          <w:szCs w:val="24"/>
          <w:lang w:eastAsia="zh-CN"/>
        </w:rPr>
        <w:t>须</w:t>
      </w:r>
      <w:r>
        <w:rPr>
          <w:rFonts w:hint="eastAsia" w:ascii="宋体" w:hAnsi="宋体" w:eastAsia="宋体" w:cs="宋体"/>
          <w:sz w:val="24"/>
          <w:szCs w:val="24"/>
        </w:rPr>
        <w:t>持证上岗</w:t>
      </w:r>
      <w:r>
        <w:rPr>
          <w:rFonts w:hint="eastAsia" w:ascii="宋体" w:hAnsi="宋体" w:eastAsia="宋体" w:cs="宋体"/>
          <w:sz w:val="24"/>
          <w:szCs w:val="24"/>
          <w:lang w:eastAsia="zh-CN"/>
        </w:rPr>
        <w:t>。</w:t>
      </w:r>
    </w:p>
    <w:p>
      <w:pPr>
        <w:pStyle w:val="3"/>
      </w:pPr>
    </w:p>
    <w:p>
      <w:pPr>
        <w:pStyle w:val="3"/>
      </w:pPr>
    </w:p>
    <w:p>
      <w:pPr>
        <w:pStyle w:val="3"/>
        <w:ind w:firstLine="0"/>
      </w:pPr>
    </w:p>
    <w:p>
      <w:pPr>
        <w:pStyle w:val="3"/>
        <w:jc w:val="center"/>
        <w:rPr>
          <w:rFonts w:cs="宋体"/>
          <w:b/>
          <w:bCs/>
          <w:szCs w:val="21"/>
        </w:rPr>
      </w:pPr>
      <w:r>
        <w:rPr>
          <w:rFonts w:hint="eastAsia" w:eastAsia="宋体" w:cs="宋体"/>
          <w:b/>
          <w:sz w:val="30"/>
          <w:szCs w:val="30"/>
        </w:rPr>
        <w:t>方案评审标准</w:t>
      </w:r>
    </w:p>
    <w:p>
      <w:pPr>
        <w:widowControl/>
        <w:spacing w:line="560" w:lineRule="exact"/>
        <w:jc w:val="left"/>
        <w:rPr>
          <w:rFonts w:ascii="宋体" w:hAnsi="宋体" w:eastAsia="宋体" w:cs="宋体"/>
          <w:b/>
          <w:bCs/>
          <w:sz w:val="24"/>
        </w:rPr>
      </w:pPr>
      <w:r>
        <w:rPr>
          <w:rFonts w:hint="eastAsia" w:ascii="宋体" w:hAnsi="宋体" w:eastAsia="宋体" w:cs="宋体"/>
          <w:b/>
          <w:bCs/>
          <w:sz w:val="24"/>
          <w:lang w:val="en-US" w:eastAsia="zh-CN"/>
        </w:rPr>
        <w:t>一、</w:t>
      </w:r>
      <w:r>
        <w:rPr>
          <w:rFonts w:hint="eastAsia" w:ascii="宋体" w:hAnsi="宋体" w:eastAsia="宋体" w:cs="宋体"/>
          <w:b/>
          <w:bCs/>
          <w:sz w:val="24"/>
        </w:rPr>
        <w:t>分值构成</w:t>
      </w:r>
    </w:p>
    <w:tbl>
      <w:tblPr>
        <w:tblStyle w:val="9"/>
        <w:tblpPr w:leftFromText="180" w:rightFromText="180" w:vertAnchor="text" w:tblpXSpec="center" w:tblpY="1"/>
        <w:tblOverlap w:val="never"/>
        <w:tblW w:w="87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352"/>
        <w:gridCol w:w="2685"/>
        <w:gridCol w:w="27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335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1440" w:firstLineChars="600"/>
              <w:jc w:val="left"/>
              <w:rPr>
                <w:rFonts w:ascii="宋体" w:hAnsi="宋体" w:eastAsia="宋体" w:cs="宋体"/>
                <w:sz w:val="24"/>
              </w:rPr>
            </w:pPr>
            <w:r>
              <w:rPr>
                <w:rFonts w:hint="eastAsia" w:ascii="宋体" w:hAnsi="宋体" w:eastAsia="宋体" w:cs="宋体"/>
                <w:sz w:val="24"/>
              </w:rPr>
              <w:t>总分</w:t>
            </w:r>
          </w:p>
        </w:tc>
        <w:tc>
          <w:tcPr>
            <w:tcW w:w="268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720" w:firstLineChars="300"/>
              <w:jc w:val="left"/>
              <w:rPr>
                <w:rFonts w:ascii="宋体" w:hAnsi="宋体" w:eastAsia="宋体" w:cs="宋体"/>
                <w:sz w:val="24"/>
              </w:rPr>
            </w:pPr>
            <w:r>
              <w:rPr>
                <w:rFonts w:hint="eastAsia" w:ascii="宋体" w:hAnsi="宋体" w:eastAsia="宋体" w:cs="宋体"/>
                <w:sz w:val="24"/>
              </w:rPr>
              <w:t>技术部分</w:t>
            </w:r>
          </w:p>
        </w:tc>
        <w:tc>
          <w:tcPr>
            <w:tcW w:w="275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720" w:firstLineChars="300"/>
              <w:jc w:val="left"/>
              <w:rPr>
                <w:rFonts w:ascii="宋体" w:hAnsi="宋体" w:eastAsia="宋体" w:cs="宋体"/>
                <w:sz w:val="24"/>
              </w:rPr>
            </w:pPr>
            <w:r>
              <w:rPr>
                <w:rFonts w:hint="eastAsia" w:ascii="宋体" w:hAnsi="宋体" w:eastAsia="宋体" w:cs="宋体"/>
                <w:sz w:val="24"/>
              </w:rPr>
              <w:t>商务部分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335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1440" w:firstLineChars="600"/>
              <w:jc w:val="left"/>
              <w:rPr>
                <w:rFonts w:ascii="宋体" w:hAnsi="宋体" w:eastAsia="宋体" w:cs="宋体"/>
                <w:sz w:val="24"/>
              </w:rPr>
            </w:pPr>
            <w:r>
              <w:rPr>
                <w:rFonts w:hint="eastAsia" w:ascii="宋体" w:hAnsi="宋体" w:eastAsia="宋体" w:cs="宋体"/>
                <w:sz w:val="24"/>
              </w:rPr>
              <w:t>100分</w:t>
            </w:r>
          </w:p>
        </w:tc>
        <w:tc>
          <w:tcPr>
            <w:tcW w:w="268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960" w:firstLineChars="400"/>
              <w:jc w:val="left"/>
              <w:rPr>
                <w:rFonts w:ascii="宋体" w:hAnsi="宋体" w:eastAsia="宋体" w:cs="宋体"/>
                <w:sz w:val="24"/>
              </w:rPr>
            </w:pPr>
            <w:r>
              <w:rPr>
                <w:rFonts w:hint="eastAsia" w:ascii="宋体" w:hAnsi="宋体" w:eastAsia="宋体" w:cs="宋体"/>
                <w:sz w:val="24"/>
              </w:rPr>
              <w:t>70分</w:t>
            </w:r>
          </w:p>
        </w:tc>
        <w:tc>
          <w:tcPr>
            <w:tcW w:w="275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960" w:firstLineChars="400"/>
              <w:jc w:val="left"/>
              <w:rPr>
                <w:rFonts w:ascii="宋体" w:hAnsi="宋体" w:eastAsia="宋体" w:cs="宋体"/>
                <w:sz w:val="24"/>
              </w:rPr>
            </w:pPr>
            <w:r>
              <w:rPr>
                <w:rFonts w:hint="eastAsia" w:ascii="宋体" w:hAnsi="宋体" w:eastAsia="宋体" w:cs="宋体"/>
                <w:sz w:val="24"/>
              </w:rPr>
              <w:t>30分</w:t>
            </w:r>
          </w:p>
        </w:tc>
      </w:tr>
    </w:tbl>
    <w:p>
      <w:pPr>
        <w:widowControl/>
        <w:numPr>
          <w:ilvl w:val="0"/>
          <w:numId w:val="0"/>
        </w:numPr>
        <w:spacing w:line="560" w:lineRule="exact"/>
        <w:jc w:val="left"/>
        <w:rPr>
          <w:b/>
          <w:bCs/>
        </w:rPr>
      </w:pPr>
      <w:bookmarkStart w:id="2" w:name="_Toc12802"/>
      <w:bookmarkStart w:id="3" w:name="_Toc340225299"/>
      <w:bookmarkStart w:id="4" w:name="_Toc450551996"/>
      <w:r>
        <w:rPr>
          <w:rFonts w:hint="eastAsia" w:ascii="宋体" w:hAnsi="宋体" w:eastAsia="宋体" w:cs="宋体"/>
          <w:b/>
          <w:bCs/>
          <w:sz w:val="24"/>
          <w:lang w:val="en-US" w:eastAsia="zh-CN"/>
        </w:rPr>
        <w:t>二、</w:t>
      </w:r>
      <w:r>
        <w:rPr>
          <w:rFonts w:hint="eastAsia" w:ascii="宋体" w:hAnsi="宋体" w:eastAsia="宋体" w:cs="宋体"/>
          <w:b/>
          <w:bCs/>
          <w:sz w:val="24"/>
        </w:rPr>
        <w:t>评分标准</w:t>
      </w:r>
      <w:bookmarkEnd w:id="2"/>
    </w:p>
    <w:p>
      <w:pPr>
        <w:widowControl/>
        <w:numPr>
          <w:ilvl w:val="0"/>
          <w:numId w:val="0"/>
        </w:numPr>
        <w:spacing w:line="560" w:lineRule="exact"/>
        <w:ind w:leftChars="0"/>
        <w:jc w:val="left"/>
      </w:pPr>
      <w:r>
        <w:rPr>
          <w:rFonts w:hint="eastAsia" w:ascii="宋体" w:hAnsi="宋体" w:eastAsia="宋体" w:cs="宋体"/>
          <w:sz w:val="24"/>
          <w:lang w:val="en-US" w:eastAsia="zh-CN"/>
        </w:rPr>
        <w:t>1.</w:t>
      </w:r>
      <w:r>
        <w:rPr>
          <w:rFonts w:hint="eastAsia" w:ascii="宋体" w:hAnsi="宋体" w:eastAsia="宋体" w:cs="宋体"/>
          <w:sz w:val="24"/>
        </w:rPr>
        <w:t>技术部分（总分：</w:t>
      </w:r>
      <w:r>
        <w:rPr>
          <w:rFonts w:hint="eastAsia" w:ascii="宋体" w:hAnsi="宋体" w:eastAsia="宋体" w:cs="宋体"/>
          <w:sz w:val="24"/>
          <w:lang w:val="en-US" w:eastAsia="zh-CN"/>
        </w:rPr>
        <w:t>7</w:t>
      </w:r>
      <w:r>
        <w:rPr>
          <w:rFonts w:hint="eastAsia" w:ascii="宋体" w:hAnsi="宋体" w:eastAsia="宋体" w:cs="宋体"/>
          <w:sz w:val="24"/>
        </w:rPr>
        <w:t>0分），具体评分标准如下表所示：</w:t>
      </w:r>
    </w:p>
    <w:tbl>
      <w:tblPr>
        <w:tblStyle w:val="9"/>
        <w:tblpPr w:leftFromText="180" w:rightFromText="180" w:vertAnchor="text" w:tblpXSpec="center" w:tblpY="1"/>
        <w:tblOverlap w:val="never"/>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266"/>
        <w:gridCol w:w="628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3" w:type="dxa"/>
            <w:vAlign w:val="center"/>
          </w:tcPr>
          <w:p>
            <w:pPr>
              <w:widowControl/>
              <w:spacing w:line="240" w:lineRule="atLeast"/>
              <w:jc w:val="center"/>
              <w:rPr>
                <w:rFonts w:hint="eastAsia" w:ascii="宋体" w:hAnsi="宋体" w:eastAsia="宋体" w:cs="宋体"/>
                <w:sz w:val="24"/>
                <w:lang w:eastAsia="zh-CN"/>
              </w:rPr>
            </w:pPr>
            <w:r>
              <w:rPr>
                <w:rFonts w:hint="eastAsia" w:ascii="宋体" w:hAnsi="宋体" w:eastAsia="宋体" w:cs="宋体"/>
                <w:sz w:val="24"/>
                <w:lang w:val="en-US" w:eastAsia="zh-CN"/>
              </w:rPr>
              <w:t>序号</w:t>
            </w:r>
          </w:p>
        </w:tc>
        <w:tc>
          <w:tcPr>
            <w:tcW w:w="1266" w:type="dxa"/>
            <w:vAlign w:val="center"/>
          </w:tcPr>
          <w:p>
            <w:pPr>
              <w:widowControl/>
              <w:spacing w:line="240" w:lineRule="atLeast"/>
              <w:jc w:val="center"/>
              <w:rPr>
                <w:rFonts w:ascii="宋体" w:hAnsi="宋体" w:eastAsia="宋体" w:cs="宋体"/>
                <w:sz w:val="24"/>
              </w:rPr>
            </w:pPr>
            <w:r>
              <w:rPr>
                <w:rFonts w:hint="eastAsia" w:ascii="宋体" w:hAnsi="宋体" w:eastAsia="宋体" w:cs="宋体"/>
                <w:sz w:val="24"/>
              </w:rPr>
              <w:t>项目名称</w:t>
            </w:r>
          </w:p>
        </w:tc>
        <w:tc>
          <w:tcPr>
            <w:tcW w:w="6286" w:type="dxa"/>
            <w:vAlign w:val="center"/>
          </w:tcPr>
          <w:p>
            <w:pPr>
              <w:widowControl/>
              <w:spacing w:line="240" w:lineRule="atLeast"/>
              <w:jc w:val="center"/>
              <w:rPr>
                <w:rFonts w:ascii="宋体" w:hAnsi="宋体" w:eastAsia="宋体" w:cs="宋体"/>
                <w:sz w:val="24"/>
              </w:rPr>
            </w:pPr>
            <w:r>
              <w:rPr>
                <w:rFonts w:hint="eastAsia" w:ascii="宋体" w:hAnsi="宋体" w:eastAsia="宋体" w:cs="宋体"/>
                <w:sz w:val="24"/>
              </w:rPr>
              <w:t>评分标准</w:t>
            </w:r>
          </w:p>
        </w:tc>
        <w:tc>
          <w:tcPr>
            <w:tcW w:w="851" w:type="dxa"/>
            <w:vAlign w:val="center"/>
          </w:tcPr>
          <w:p>
            <w:pPr>
              <w:widowControl/>
              <w:spacing w:line="240" w:lineRule="atLeast"/>
              <w:jc w:val="center"/>
              <w:rPr>
                <w:rFonts w:hint="eastAsia" w:ascii="宋体" w:hAnsi="宋体" w:eastAsia="宋体" w:cs="宋体"/>
                <w:sz w:val="24"/>
                <w:lang w:eastAsia="zh-CN"/>
              </w:rPr>
            </w:pPr>
            <w:r>
              <w:rPr>
                <w:rFonts w:hint="eastAsia" w:ascii="宋体" w:hAnsi="宋体" w:eastAsia="宋体" w:cs="宋体"/>
                <w:sz w:val="24"/>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jc w:val="center"/>
        </w:trPr>
        <w:tc>
          <w:tcPr>
            <w:tcW w:w="583" w:type="dxa"/>
            <w:vAlign w:val="center"/>
          </w:tcPr>
          <w:p>
            <w:pPr>
              <w:widowControl/>
              <w:spacing w:line="240" w:lineRule="atLeast"/>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1266" w:type="dxa"/>
            <w:vAlign w:val="center"/>
          </w:tcPr>
          <w:p>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总体施工组织布置及规划</w:t>
            </w:r>
          </w:p>
          <w:p>
            <w:pPr>
              <w:widowControl/>
              <w:spacing w:line="240" w:lineRule="atLeast"/>
              <w:ind w:firstLine="480" w:firstLineChars="200"/>
              <w:jc w:val="left"/>
              <w:rPr>
                <w:rFonts w:ascii="宋体" w:hAnsi="宋体" w:eastAsia="宋体" w:cs="宋体"/>
                <w:sz w:val="24"/>
              </w:rPr>
            </w:pPr>
          </w:p>
        </w:tc>
        <w:tc>
          <w:tcPr>
            <w:tcW w:w="6286" w:type="dxa"/>
            <w:vAlign w:val="center"/>
          </w:tcPr>
          <w:p>
            <w:pPr>
              <w:pStyle w:val="4"/>
              <w:keepNext w:val="0"/>
              <w:keepLines w:val="0"/>
              <w:kinsoku w:val="0"/>
              <w:overflowPunct w:val="0"/>
              <w:autoSpaceDE w:val="0"/>
              <w:autoSpaceDN w:val="0"/>
              <w:spacing w:line="440" w:lineRule="exact"/>
              <w:ind w:firstLine="480" w:firstLineChars="200"/>
              <w:rPr>
                <w:rFonts w:ascii="宋体" w:hAnsi="宋体" w:eastAsia="宋体" w:cs="宋体"/>
                <w:sz w:val="24"/>
              </w:rPr>
            </w:pPr>
            <w:r>
              <w:rPr>
                <w:rFonts w:hint="eastAsia" w:eastAsia="宋体" w:cs="宋体"/>
                <w:sz w:val="24"/>
                <w:szCs w:val="24"/>
              </w:rPr>
              <w:t>对项目总体认识深刻、工程概况描述、施工部署、总体组织安排、施工方案选择、施工进度计划、进度质量、安全环境保护及安全文明施工控制论述完整、思路清晰、符合工程实际、具有针对性、可行性和指导性</w:t>
            </w:r>
            <w:r>
              <w:rPr>
                <w:rFonts w:hint="eastAsia" w:eastAsia="宋体" w:cs="宋体"/>
                <w:sz w:val="24"/>
                <w:szCs w:val="24"/>
                <w:lang w:eastAsia="zh-CN"/>
              </w:rPr>
              <w:t>进行综合评审</w:t>
            </w:r>
            <w:r>
              <w:rPr>
                <w:rFonts w:hint="eastAsia" w:eastAsia="宋体" w:cs="宋体"/>
                <w:sz w:val="24"/>
                <w:szCs w:val="24"/>
              </w:rPr>
              <w:t>。</w:t>
            </w:r>
            <w:r>
              <w:rPr>
                <w:rFonts w:hint="eastAsia" w:ascii="宋体" w:hAnsi="宋体" w:eastAsia="宋体" w:cs="宋体"/>
                <w:sz w:val="24"/>
                <w:szCs w:val="24"/>
              </w:rPr>
              <w:t>经</w:t>
            </w:r>
            <w:r>
              <w:rPr>
                <w:rFonts w:hint="eastAsia" w:ascii="宋体" w:hAnsi="宋体" w:eastAsia="宋体" w:cs="宋体"/>
                <w:sz w:val="24"/>
                <w:szCs w:val="24"/>
                <w:lang w:eastAsia="zh-CN"/>
              </w:rPr>
              <w:t>评审，</w:t>
            </w:r>
            <w:r>
              <w:rPr>
                <w:rFonts w:hint="eastAsia" w:ascii="宋体" w:hAnsi="宋体" w:eastAsia="宋体" w:cs="宋体"/>
                <w:sz w:val="24"/>
                <w:szCs w:val="24"/>
              </w:rPr>
              <w:t>优的得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r>
              <w:rPr>
                <w:rFonts w:hint="eastAsia" w:ascii="宋体" w:hAnsi="宋体" w:eastAsia="宋体" w:cs="宋体"/>
                <w:color w:val="auto"/>
                <w:sz w:val="24"/>
                <w:szCs w:val="24"/>
                <w:lang w:eastAsia="zh-CN"/>
              </w:rPr>
              <w:t>依次减</w:t>
            </w:r>
            <w:r>
              <w:rPr>
                <w:rFonts w:hint="eastAsia" w:ascii="宋体" w:hAnsi="宋体" w:eastAsia="宋体" w:cs="宋体"/>
                <w:sz w:val="24"/>
                <w:szCs w:val="24"/>
                <w:lang w:val="en-US" w:eastAsia="zh-CN"/>
              </w:rPr>
              <w:t>3</w:t>
            </w:r>
            <w:r>
              <w:rPr>
                <w:rFonts w:hint="eastAsia" w:ascii="宋体" w:hAnsi="宋体" w:eastAsia="宋体" w:cs="宋体"/>
                <w:color w:val="auto"/>
                <w:sz w:val="24"/>
                <w:szCs w:val="24"/>
                <w:lang w:val="en-US" w:eastAsia="zh-CN"/>
              </w:rPr>
              <w:t>分，减完为止</w:t>
            </w:r>
            <w:r>
              <w:rPr>
                <w:rFonts w:hint="eastAsia"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不提供资料不得分。</w:t>
            </w:r>
          </w:p>
        </w:tc>
        <w:tc>
          <w:tcPr>
            <w:tcW w:w="851" w:type="dxa"/>
            <w:vAlign w:val="center"/>
          </w:tcPr>
          <w:p>
            <w:pPr>
              <w:widowControl/>
              <w:spacing w:line="240" w:lineRule="atLeast"/>
              <w:jc w:val="center"/>
              <w:rPr>
                <w:rFonts w:ascii="宋体" w:hAnsi="宋体" w:eastAsia="宋体" w:cs="宋体"/>
                <w:sz w:val="24"/>
              </w:rPr>
            </w:pPr>
            <w:r>
              <w:rPr>
                <w:rFonts w:hint="eastAsia" w:ascii="宋体" w:hAnsi="宋体" w:eastAsia="宋体" w:cs="宋体"/>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jc w:val="center"/>
        </w:trPr>
        <w:tc>
          <w:tcPr>
            <w:tcW w:w="583" w:type="dxa"/>
            <w:vAlign w:val="center"/>
          </w:tcPr>
          <w:p>
            <w:pPr>
              <w:widowControl/>
              <w:spacing w:line="240" w:lineRule="atLeast"/>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sz w:val="24"/>
              </w:rPr>
            </w:pPr>
            <w:r>
              <w:rPr>
                <w:rFonts w:hint="eastAsia" w:ascii="宋体" w:hAnsi="宋体" w:eastAsia="宋体" w:cs="宋体"/>
                <w:kern w:val="2"/>
                <w:sz w:val="24"/>
                <w:szCs w:val="24"/>
                <w:lang w:val="en-US" w:eastAsia="zh-CN" w:bidi="ar-SA"/>
              </w:rPr>
              <w:t xml:space="preserve">主要工程项目的施工方案、方法与技术措施 </w:t>
            </w:r>
          </w:p>
        </w:tc>
        <w:tc>
          <w:tcPr>
            <w:tcW w:w="6286"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施工总体布置必须结合项目地现状实际、合理，不影响站内正常生产作业。所采用的施工方案、程序和措施，既要保证工程质量和安全，又能加快施工进度。特别是路面修复项目必须明确与工程内容相匹配措施方案。经评审，优的得10分，依次减3分，减完为止，不提供资料不得分。</w:t>
            </w:r>
          </w:p>
          <w:p>
            <w:pPr>
              <w:widowControl/>
              <w:jc w:val="left"/>
              <w:rPr>
                <w:rFonts w:hint="eastAsia" w:ascii="宋体" w:hAnsi="宋体" w:eastAsia="宋体" w:cs="宋体"/>
                <w:color w:val="000000"/>
                <w:kern w:val="0"/>
                <w:szCs w:val="21"/>
                <w:lang w:bidi="ar"/>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宋体" w:hAnsi="宋体" w:eastAsia="宋体" w:cs="宋体"/>
                <w:sz w:val="24"/>
              </w:rPr>
            </w:pPr>
            <w:r>
              <w:rPr>
                <w:rFonts w:hint="eastAsia" w:ascii="宋体" w:hAnsi="宋体" w:eastAsia="宋体" w:cs="宋体"/>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83" w:type="dxa"/>
            <w:vAlign w:val="center"/>
          </w:tcPr>
          <w:p>
            <w:pPr>
              <w:widowControl/>
              <w:spacing w:line="240" w:lineRule="atLeast"/>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工期保证体系及保证措施</w:t>
            </w:r>
          </w:p>
          <w:p>
            <w:pPr>
              <w:widowControl/>
              <w:spacing w:line="240" w:lineRule="atLeast"/>
              <w:ind w:firstLine="480" w:firstLineChars="200"/>
              <w:jc w:val="left"/>
              <w:rPr>
                <w:rFonts w:ascii="宋体" w:hAnsi="宋体" w:eastAsia="宋体" w:cs="宋体"/>
                <w:sz w:val="24"/>
              </w:rPr>
            </w:pPr>
          </w:p>
        </w:tc>
        <w:tc>
          <w:tcPr>
            <w:tcW w:w="6286"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施工总体进度计划合理、控制性项目安排得当，工程进度补救措施可行，能保证在招标人规定的总工期内完成。计划满足招标文件要求，可靠关键线路、节点、清晰、准确、完整、可操作行强，工期保证措施可靠，控制措施得力。施工项目管理组织机构的结构、部门设置、人员安排，制度设置、施工方法、技术工艺和施工机械选择信息、基 </w:t>
            </w:r>
          </w:p>
          <w:p>
            <w:pPr>
              <w:widowControl/>
              <w:ind w:firstLine="0" w:firstLineChars="0"/>
              <w:jc w:val="left"/>
              <w:rPr>
                <w:rFonts w:hint="eastAsia" w:ascii="宋体" w:hAnsi="宋体" w:eastAsia="宋体" w:cs="宋体"/>
                <w:color w:val="000000"/>
                <w:kern w:val="0"/>
                <w:szCs w:val="21"/>
                <w:lang w:bidi="ar"/>
              </w:rPr>
            </w:pPr>
            <w:r>
              <w:rPr>
                <w:rFonts w:hint="eastAsia" w:ascii="宋体" w:hAnsi="宋体" w:eastAsia="宋体" w:cs="宋体"/>
                <w:kern w:val="2"/>
                <w:sz w:val="24"/>
                <w:szCs w:val="24"/>
                <w:lang w:val="en-US" w:eastAsia="zh-CN" w:bidi="ar-SA"/>
              </w:rPr>
              <w:t>础设施、工作环境的提供是否符合项目要求且具有先进性。施工总体进度计划合理、控制性项目安排得当，工程进度补救措施可行，能保证在招标人规定的总工期内完成。经评审，优的得10分，依次减3分，减完为止，不提供资料不得分。</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宋体" w:hAnsi="宋体" w:eastAsia="宋体" w:cs="宋体"/>
                <w:sz w:val="24"/>
              </w:rPr>
            </w:pPr>
            <w:r>
              <w:rPr>
                <w:rFonts w:hint="eastAsia" w:ascii="宋体" w:hAnsi="宋体" w:eastAsia="宋体" w:cs="宋体"/>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583" w:type="dxa"/>
            <w:vAlign w:val="center"/>
          </w:tcPr>
          <w:p>
            <w:pPr>
              <w:widowControl/>
              <w:spacing w:line="240" w:lineRule="atLeast"/>
              <w:jc w:val="center"/>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工程质量 管理体系及保证措施 </w:t>
            </w:r>
          </w:p>
          <w:p>
            <w:pPr>
              <w:widowControl/>
              <w:spacing w:line="240" w:lineRule="atLeast"/>
              <w:ind w:firstLine="480" w:firstLineChars="200"/>
              <w:jc w:val="left"/>
              <w:rPr>
                <w:rFonts w:ascii="宋体" w:hAnsi="宋体" w:eastAsia="宋体" w:cs="宋体"/>
                <w:sz w:val="24"/>
              </w:rPr>
            </w:pPr>
          </w:p>
        </w:tc>
        <w:tc>
          <w:tcPr>
            <w:tcW w:w="6286"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针对本工程实际有健全的工程质量管理体系、质量目标明确、制定了质量管理监督工作程序和管理职能要素分配、对抓好工程质量、原材料、设备质量、半成品质量、有严格的质量监督控制措施、质量管理体系总体思路清晰。</w:t>
            </w:r>
          </w:p>
          <w:p>
            <w:pPr>
              <w:widowControl/>
              <w:ind w:firstLine="0" w:firstLineChars="0"/>
              <w:jc w:val="left"/>
              <w:rPr>
                <w:rFonts w:ascii="宋体" w:hAnsi="宋体" w:eastAsia="宋体" w:cs="宋体"/>
                <w:sz w:val="24"/>
              </w:rPr>
            </w:pPr>
            <w:r>
              <w:rPr>
                <w:rFonts w:hint="eastAsia" w:ascii="宋体" w:hAnsi="宋体" w:eastAsia="宋体" w:cs="宋体"/>
                <w:kern w:val="2"/>
                <w:sz w:val="24"/>
                <w:szCs w:val="24"/>
                <w:lang w:val="en-US" w:eastAsia="zh-CN" w:bidi="ar-SA"/>
              </w:rPr>
              <w:t>经评审，优的得10分，依次减3分，减完为止，不提供资料不得分。</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宋体" w:hAnsi="宋体" w:eastAsia="宋体" w:cs="宋体"/>
                <w:sz w:val="24"/>
              </w:rPr>
            </w:pPr>
            <w:r>
              <w:rPr>
                <w:rFonts w:hint="eastAsia" w:ascii="宋体" w:hAnsi="宋体" w:eastAsia="宋体" w:cs="宋体"/>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jc w:val="center"/>
        </w:trPr>
        <w:tc>
          <w:tcPr>
            <w:tcW w:w="583" w:type="dxa"/>
            <w:vAlign w:val="center"/>
          </w:tcPr>
          <w:p>
            <w:pPr>
              <w:widowControl/>
              <w:spacing w:line="240" w:lineRule="atLeast"/>
              <w:jc w:val="center"/>
              <w:rPr>
                <w:rFonts w:hint="eastAsia" w:ascii="宋体" w:hAnsi="宋体" w:eastAsia="宋体" w:cs="宋体"/>
                <w:sz w:val="24"/>
                <w:lang w:val="en-US" w:eastAsia="zh-CN"/>
              </w:rPr>
            </w:pPr>
            <w:r>
              <w:rPr>
                <w:rFonts w:hint="eastAsia" w:ascii="宋体" w:hAnsi="宋体" w:eastAsia="宋体" w:cs="宋体"/>
                <w:sz w:val="24"/>
                <w:lang w:val="en-US" w:eastAsia="zh-CN"/>
              </w:rPr>
              <w:t>5</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eastAsia="宋体" w:cs="宋体"/>
                <w:kern w:val="2"/>
                <w:sz w:val="24"/>
                <w:szCs w:val="24"/>
                <w:lang w:val="en-US" w:eastAsia="zh-CN" w:bidi="ar-SA"/>
              </w:rPr>
            </w:pPr>
          </w:p>
          <w:p>
            <w:pPr>
              <w:widowControl/>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安全生产管理体系及保证措施</w:t>
            </w:r>
          </w:p>
          <w:p>
            <w:pPr>
              <w:widowControl/>
              <w:spacing w:line="240" w:lineRule="atLeast"/>
              <w:ind w:firstLine="480" w:firstLineChars="200"/>
              <w:jc w:val="left"/>
              <w:rPr>
                <w:rFonts w:ascii="宋体" w:hAnsi="宋体" w:eastAsia="宋体" w:cs="宋体"/>
                <w:sz w:val="24"/>
              </w:rPr>
            </w:pPr>
          </w:p>
        </w:tc>
        <w:tc>
          <w:tcPr>
            <w:tcW w:w="6286"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建立有安全管理体系、专职安全监督机构、有齐全完整的、可操作的项目安 全生产管理制度，施工安全措施、劳动保护措施，场容场貌、工地卫生、文明建设的管理办法、专职安全员的安全管理措施。经评审，优的得10分，依次减3分，减完为止，不提供资料不得分。</w:t>
            </w:r>
          </w:p>
          <w:p>
            <w:pPr>
              <w:widowControl/>
              <w:ind w:firstLine="0" w:firstLineChars="0"/>
              <w:jc w:val="left"/>
              <w:rPr>
                <w:rFonts w:ascii="宋体" w:hAnsi="宋体" w:eastAsia="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宋体" w:hAnsi="宋体" w:eastAsia="宋体" w:cs="宋体"/>
                <w:sz w:val="24"/>
              </w:rPr>
            </w:pPr>
            <w:r>
              <w:rPr>
                <w:rFonts w:hint="eastAsia" w:ascii="宋体" w:hAnsi="宋体" w:eastAsia="宋体" w:cs="宋体"/>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583" w:type="dxa"/>
            <w:vAlign w:val="center"/>
          </w:tcPr>
          <w:p>
            <w:pPr>
              <w:widowControl/>
              <w:spacing w:line="240" w:lineRule="atLeast"/>
              <w:jc w:val="center"/>
              <w:rPr>
                <w:rFonts w:hint="eastAsia" w:ascii="宋体" w:hAnsi="宋体" w:eastAsia="宋体" w:cs="宋体"/>
                <w:sz w:val="24"/>
                <w:lang w:val="en-US" w:eastAsia="zh-CN"/>
              </w:rPr>
            </w:pPr>
            <w:r>
              <w:rPr>
                <w:rFonts w:hint="eastAsia" w:ascii="宋体" w:hAnsi="宋体" w:eastAsia="宋体" w:cs="宋体"/>
                <w:sz w:val="24"/>
                <w:lang w:val="en-US" w:eastAsia="zh-CN"/>
              </w:rPr>
              <w:t>6</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宋体" w:hAnsi="宋体" w:eastAsia="宋体" w:cs="宋体"/>
                <w:sz w:val="24"/>
              </w:rPr>
            </w:pPr>
            <w:r>
              <w:rPr>
                <w:rFonts w:hint="eastAsia" w:ascii="宋体" w:hAnsi="宋体" w:eastAsia="宋体" w:cs="宋体"/>
                <w:kern w:val="2"/>
                <w:sz w:val="24"/>
                <w:szCs w:val="24"/>
                <w:lang w:val="en-US" w:eastAsia="zh-CN" w:bidi="ar-SA"/>
              </w:rPr>
              <w:t>环境保护措施</w:t>
            </w:r>
          </w:p>
        </w:tc>
        <w:tc>
          <w:tcPr>
            <w:tcW w:w="6286"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建立有环境保护、噪音防范处理措施、 防止和减轻水、大气污染措施，以及废料废方处理方式。符合本工程实际、具有针对性、可行性和指导性。经评审，优的得10分，依次减3分，减完为止，不提供资料不得分。</w:t>
            </w:r>
          </w:p>
          <w:p>
            <w:pPr>
              <w:widowControl/>
              <w:ind w:firstLine="480" w:firstLineChars="200"/>
              <w:jc w:val="left"/>
              <w:rPr>
                <w:rFonts w:ascii="宋体" w:hAnsi="宋体" w:eastAsia="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宋体" w:hAnsi="宋体" w:eastAsia="宋体" w:cs="宋体"/>
                <w:sz w:val="24"/>
              </w:rPr>
            </w:pPr>
            <w:r>
              <w:rPr>
                <w:rFonts w:hint="eastAsia" w:ascii="宋体" w:hAnsi="宋体" w:eastAsia="宋体" w:cs="宋体"/>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583" w:type="dxa"/>
            <w:vAlign w:val="center"/>
          </w:tcPr>
          <w:p>
            <w:pPr>
              <w:widowControl/>
              <w:spacing w:line="240" w:lineRule="atLeast"/>
              <w:jc w:val="center"/>
              <w:rPr>
                <w:rFonts w:hint="eastAsia" w:ascii="宋体" w:hAnsi="宋体" w:eastAsia="宋体" w:cs="宋体"/>
                <w:sz w:val="24"/>
                <w:lang w:val="en-US" w:eastAsia="zh-CN"/>
              </w:rPr>
            </w:pPr>
            <w:r>
              <w:rPr>
                <w:rFonts w:hint="eastAsia" w:ascii="宋体" w:hAnsi="宋体" w:eastAsia="宋体" w:cs="宋体"/>
                <w:sz w:val="24"/>
                <w:lang w:val="en-US" w:eastAsia="zh-CN"/>
              </w:rPr>
              <w:t>7</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2"/>
                <w:sz w:val="24"/>
                <w:szCs w:val="24"/>
                <w:lang w:val="en-US" w:eastAsia="zh-CN" w:bidi="ar-SA"/>
              </w:rPr>
            </w:pPr>
          </w:p>
          <w:p>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资源配备计划与先进性 </w:t>
            </w:r>
          </w:p>
          <w:p>
            <w:pPr>
              <w:widowControl/>
              <w:spacing w:line="240" w:lineRule="atLeast"/>
              <w:ind w:firstLine="480" w:firstLineChars="200"/>
              <w:jc w:val="left"/>
              <w:rPr>
                <w:rFonts w:ascii="宋体" w:hAnsi="宋体" w:eastAsia="宋体" w:cs="宋体"/>
                <w:sz w:val="24"/>
              </w:rPr>
            </w:pPr>
          </w:p>
        </w:tc>
        <w:tc>
          <w:tcPr>
            <w:tcW w:w="6286"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方案中要明确满足本工程施工需要的机具和设备等，从类型、型号、数量、质量等方面进行综合评定，符合工程实际、 具有针对性、可行性和指导性。经评审，优的得10分，依次减3分，减完为止，不提供资料不得分。</w:t>
            </w:r>
          </w:p>
          <w:p>
            <w:pPr>
              <w:widowControl/>
              <w:ind w:firstLine="640" w:firstLineChars="200"/>
              <w:jc w:val="left"/>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宋体" w:hAnsi="宋体" w:eastAsia="宋体" w:cs="宋体"/>
                <w:sz w:val="24"/>
                <w:lang w:val="en-US" w:eastAsia="zh-CN"/>
              </w:rPr>
            </w:pPr>
            <w:r>
              <w:rPr>
                <w:rFonts w:hint="eastAsia" w:ascii="宋体" w:hAnsi="宋体" w:eastAsia="宋体" w:cs="宋体"/>
                <w:sz w:val="24"/>
              </w:rPr>
              <w:t>10</w:t>
            </w:r>
            <w:r>
              <w:rPr>
                <w:rFonts w:hint="eastAsia" w:ascii="宋体" w:hAnsi="宋体" w:eastAsia="宋体" w:cs="宋体"/>
                <w:sz w:val="24"/>
                <w:lang w:val="en-US" w:eastAsia="zh-CN"/>
              </w:rPr>
              <w:t>分</w:t>
            </w:r>
          </w:p>
        </w:tc>
      </w:tr>
    </w:tbl>
    <w:p>
      <w:pPr>
        <w:widowControl/>
        <w:numPr>
          <w:ilvl w:val="0"/>
          <w:numId w:val="0"/>
        </w:numPr>
        <w:spacing w:line="560" w:lineRule="exact"/>
        <w:ind w:leftChars="0"/>
        <w:jc w:val="left"/>
      </w:pPr>
      <w:r>
        <w:rPr>
          <w:rFonts w:hint="eastAsia" w:ascii="宋体" w:hAnsi="宋体" w:eastAsia="宋体" w:cs="宋体"/>
          <w:sz w:val="24"/>
          <w:lang w:val="en-US" w:eastAsia="zh-CN"/>
        </w:rPr>
        <w:t>2.</w:t>
      </w:r>
      <w:r>
        <w:rPr>
          <w:rFonts w:hint="eastAsia" w:ascii="宋体" w:hAnsi="宋体" w:eastAsia="宋体" w:cs="宋体"/>
          <w:sz w:val="24"/>
        </w:rPr>
        <w:t>商务评审（总分：</w:t>
      </w:r>
      <w:r>
        <w:rPr>
          <w:rFonts w:hint="eastAsia" w:ascii="宋体" w:hAnsi="宋体" w:eastAsia="宋体" w:cs="宋体"/>
          <w:sz w:val="24"/>
          <w:lang w:val="en-US" w:eastAsia="zh-CN"/>
        </w:rPr>
        <w:t>3</w:t>
      </w:r>
      <w:r>
        <w:rPr>
          <w:rFonts w:hint="eastAsia" w:ascii="宋体" w:hAnsi="宋体" w:eastAsia="宋体" w:cs="宋体"/>
          <w:sz w:val="24"/>
        </w:rPr>
        <w:t>0分），具体评分标准如下表所示：</w:t>
      </w:r>
    </w:p>
    <w:tbl>
      <w:tblPr>
        <w:tblStyle w:val="9"/>
        <w:tblpPr w:leftFromText="180" w:rightFromText="180" w:vertAnchor="text" w:horzAnchor="page" w:tblpXSpec="center" w:tblpY="372"/>
        <w:tblOverlap w:val="never"/>
        <w:tblW w:w="8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1237"/>
        <w:gridCol w:w="6282"/>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599" w:type="dxa"/>
            <w:vAlign w:val="center"/>
          </w:tcPr>
          <w:p>
            <w:pPr>
              <w:widowControl/>
              <w:spacing w:line="240" w:lineRule="atLeast"/>
              <w:jc w:val="left"/>
              <w:rPr>
                <w:rFonts w:ascii="宋体" w:hAnsi="宋体" w:eastAsia="宋体" w:cs="宋体"/>
                <w:sz w:val="24"/>
              </w:rPr>
            </w:pPr>
            <w:r>
              <w:rPr>
                <w:rFonts w:hint="eastAsia" w:ascii="宋体" w:hAnsi="宋体" w:eastAsia="宋体" w:cs="宋体"/>
                <w:sz w:val="24"/>
              </w:rPr>
              <w:t>序号</w:t>
            </w:r>
          </w:p>
        </w:tc>
        <w:tc>
          <w:tcPr>
            <w:tcW w:w="1237" w:type="dxa"/>
            <w:vAlign w:val="center"/>
          </w:tcPr>
          <w:p>
            <w:pPr>
              <w:widowControl/>
              <w:spacing w:line="240" w:lineRule="atLeast"/>
              <w:jc w:val="left"/>
              <w:rPr>
                <w:rFonts w:ascii="宋体" w:hAnsi="宋体" w:eastAsia="宋体" w:cs="宋体"/>
                <w:sz w:val="24"/>
              </w:rPr>
            </w:pPr>
            <w:r>
              <w:rPr>
                <w:rFonts w:hint="eastAsia" w:ascii="宋体" w:hAnsi="宋体" w:eastAsia="宋体" w:cs="宋体"/>
                <w:sz w:val="24"/>
              </w:rPr>
              <w:t xml:space="preserve">项目名称                                    </w:t>
            </w:r>
          </w:p>
        </w:tc>
        <w:tc>
          <w:tcPr>
            <w:tcW w:w="6282" w:type="dxa"/>
            <w:vAlign w:val="center"/>
          </w:tcPr>
          <w:p>
            <w:pPr>
              <w:widowControl/>
              <w:spacing w:line="240" w:lineRule="atLeast"/>
              <w:ind w:firstLine="480" w:firstLineChars="200"/>
              <w:jc w:val="center"/>
              <w:rPr>
                <w:rFonts w:ascii="宋体" w:hAnsi="宋体" w:eastAsia="宋体" w:cs="宋体"/>
                <w:sz w:val="24"/>
              </w:rPr>
            </w:pPr>
            <w:r>
              <w:rPr>
                <w:rFonts w:hint="eastAsia" w:ascii="宋体" w:hAnsi="宋体" w:eastAsia="宋体" w:cs="宋体"/>
                <w:sz w:val="24"/>
              </w:rPr>
              <w:t>评分标准</w:t>
            </w:r>
          </w:p>
        </w:tc>
        <w:tc>
          <w:tcPr>
            <w:tcW w:w="845" w:type="dxa"/>
            <w:vAlign w:val="center"/>
          </w:tcPr>
          <w:p>
            <w:pPr>
              <w:widowControl/>
              <w:spacing w:line="240" w:lineRule="atLeast"/>
              <w:jc w:val="both"/>
              <w:rPr>
                <w:rFonts w:ascii="宋体" w:hAnsi="宋体" w:eastAsia="宋体" w:cs="宋体"/>
                <w:sz w:val="24"/>
              </w:rPr>
            </w:pPr>
            <w:r>
              <w:rPr>
                <w:rFonts w:hint="eastAsia" w:ascii="宋体" w:hAnsi="宋体" w:eastAsia="宋体" w:cs="宋体"/>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599" w:type="dxa"/>
            <w:vAlign w:val="center"/>
          </w:tcPr>
          <w:p>
            <w:pPr>
              <w:widowControl/>
              <w:spacing w:line="240" w:lineRule="atLeast"/>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1237" w:type="dxa"/>
            <w:vAlign w:val="center"/>
          </w:tcPr>
          <w:p>
            <w:pPr>
              <w:widowControl/>
              <w:spacing w:line="240" w:lineRule="atLeast"/>
              <w:jc w:val="left"/>
              <w:rPr>
                <w:rFonts w:hint="default" w:ascii="宋体" w:hAnsi="宋体" w:eastAsia="宋体" w:cs="宋体"/>
                <w:sz w:val="24"/>
                <w:lang w:val="en-US" w:eastAsia="zh-CN"/>
              </w:rPr>
            </w:pPr>
            <w:r>
              <w:rPr>
                <w:rFonts w:hint="eastAsia" w:ascii="宋体" w:hAnsi="宋体" w:eastAsia="宋体" w:cs="宋体"/>
                <w:kern w:val="2"/>
                <w:sz w:val="24"/>
                <w:szCs w:val="24"/>
                <w:lang w:val="en-US" w:eastAsia="zh-CN" w:bidi="ar-SA"/>
              </w:rPr>
              <w:t>方案内容</w:t>
            </w:r>
          </w:p>
        </w:tc>
        <w:tc>
          <w:tcPr>
            <w:tcW w:w="6282" w:type="dxa"/>
            <w:vAlign w:val="center"/>
          </w:tcPr>
          <w:p>
            <w:pPr>
              <w:widowControl/>
              <w:spacing w:line="240" w:lineRule="atLeast"/>
              <w:ind w:firstLine="480" w:firstLineChars="200"/>
              <w:jc w:val="left"/>
              <w:rPr>
                <w:rFonts w:ascii="宋体" w:hAnsi="宋体" w:eastAsia="宋体" w:cs="宋体"/>
                <w:sz w:val="24"/>
              </w:rPr>
            </w:pPr>
            <w:r>
              <w:rPr>
                <w:rFonts w:hint="eastAsia" w:ascii="宋体" w:hAnsi="宋体" w:eastAsia="宋体" w:cs="宋体"/>
                <w:kern w:val="2"/>
                <w:sz w:val="24"/>
                <w:szCs w:val="24"/>
                <w:lang w:val="en-US" w:eastAsia="zh-CN" w:bidi="ar-SA"/>
              </w:rPr>
              <w:t>竞选方案编制完整，描述详细，每缺一项扣2分。</w:t>
            </w:r>
          </w:p>
        </w:tc>
        <w:tc>
          <w:tcPr>
            <w:tcW w:w="845" w:type="dxa"/>
            <w:vAlign w:val="center"/>
          </w:tcPr>
          <w:p>
            <w:pPr>
              <w:widowControl/>
              <w:spacing w:line="240" w:lineRule="atLeast"/>
              <w:jc w:val="center"/>
              <w:rPr>
                <w:rFonts w:ascii="宋体" w:hAnsi="宋体" w:eastAsia="宋体" w:cs="宋体"/>
                <w:sz w:val="24"/>
              </w:rPr>
            </w:pPr>
            <w:r>
              <w:rPr>
                <w:rFonts w:hint="eastAsia" w:ascii="宋体" w:hAnsi="宋体" w:eastAsia="宋体" w:cs="宋体"/>
                <w:sz w:val="24"/>
                <w:lang w:val="en-US" w:eastAsia="zh-CN"/>
              </w:rPr>
              <w:t>10</w:t>
            </w:r>
            <w:r>
              <w:rPr>
                <w:rFonts w:hint="eastAsia" w:ascii="宋体" w:hAnsi="宋体" w:eastAsia="宋体" w:cs="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599" w:type="dxa"/>
            <w:vAlign w:val="center"/>
          </w:tcPr>
          <w:p>
            <w:pPr>
              <w:widowControl/>
              <w:spacing w:line="240" w:lineRule="atLeast"/>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237" w:type="dxa"/>
            <w:vAlign w:val="center"/>
          </w:tcPr>
          <w:p>
            <w:pPr>
              <w:widowControl/>
              <w:spacing w:line="240" w:lineRule="atLeast"/>
              <w:jc w:val="center"/>
              <w:rPr>
                <w:rFonts w:ascii="宋体" w:hAnsi="宋体" w:eastAsia="宋体" w:cs="宋体"/>
                <w:sz w:val="24"/>
              </w:rPr>
            </w:pPr>
            <w:r>
              <w:rPr>
                <w:rFonts w:hint="eastAsia" w:ascii="宋体" w:hAnsi="宋体" w:eastAsia="宋体" w:cs="宋体"/>
                <w:kern w:val="2"/>
                <w:sz w:val="24"/>
                <w:szCs w:val="24"/>
                <w:lang w:val="en-US" w:eastAsia="zh-CN" w:bidi="ar-SA"/>
              </w:rPr>
              <w:t>资质</w:t>
            </w:r>
          </w:p>
        </w:tc>
        <w:tc>
          <w:tcPr>
            <w:tcW w:w="6282" w:type="dxa"/>
            <w:vAlign w:val="center"/>
          </w:tcPr>
          <w:p>
            <w:pPr>
              <w:widowControl/>
              <w:spacing w:line="240" w:lineRule="atLeast"/>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竞标人从2019年1月1日至今，提供类似工程业绩， 以业绩数量进行排名。经评审，优的得10分，依次减3分，减完为止，不提供资料不得分。</w:t>
            </w:r>
          </w:p>
          <w:p>
            <w:pPr>
              <w:widowControl/>
              <w:spacing w:line="240" w:lineRule="atLeast"/>
              <w:ind w:firstLine="480" w:firstLineChars="200"/>
              <w:jc w:val="left"/>
              <w:rPr>
                <w:rFonts w:ascii="宋体" w:hAnsi="宋体" w:eastAsia="宋体" w:cs="宋体"/>
                <w:sz w:val="24"/>
              </w:rPr>
            </w:pPr>
            <w:r>
              <w:rPr>
                <w:rFonts w:hint="eastAsia" w:ascii="宋体" w:hAnsi="宋体" w:eastAsia="宋体" w:cs="宋体"/>
                <w:kern w:val="2"/>
                <w:sz w:val="24"/>
                <w:szCs w:val="24"/>
                <w:lang w:val="en-US" w:eastAsia="zh-CN" w:bidi="ar-SA"/>
              </w:rPr>
              <w:t>竞标人需提供业绩数量统计表，业绩需提供合同复印件并加盖鲜章。未提供合同的业绩不予纳入评审计分。</w:t>
            </w:r>
          </w:p>
        </w:tc>
        <w:tc>
          <w:tcPr>
            <w:tcW w:w="845" w:type="dxa"/>
            <w:vAlign w:val="center"/>
          </w:tcPr>
          <w:p>
            <w:pPr>
              <w:widowControl/>
              <w:spacing w:line="240" w:lineRule="atLeast"/>
              <w:jc w:val="center"/>
              <w:rPr>
                <w:rFonts w:ascii="宋体" w:hAnsi="宋体" w:eastAsia="宋体" w:cs="宋体"/>
                <w:sz w:val="24"/>
              </w:rPr>
            </w:pPr>
            <w:r>
              <w:rPr>
                <w:rFonts w:hint="eastAsia" w:ascii="宋体" w:hAnsi="宋体" w:eastAsia="宋体" w:cs="宋体"/>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atLeast"/>
          <w:jc w:val="center"/>
        </w:trPr>
        <w:tc>
          <w:tcPr>
            <w:tcW w:w="599" w:type="dxa"/>
            <w:vAlign w:val="center"/>
          </w:tcPr>
          <w:p>
            <w:pPr>
              <w:widowControl/>
              <w:spacing w:line="240" w:lineRule="atLeast"/>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1237" w:type="dxa"/>
            <w:vAlign w:val="center"/>
          </w:tcPr>
          <w:p>
            <w:pPr>
              <w:widowControl/>
              <w:spacing w:line="240" w:lineRule="atLeast"/>
              <w:jc w:val="left"/>
              <w:rPr>
                <w:rFonts w:hint="default" w:ascii="宋体" w:hAnsi="宋体" w:eastAsia="宋体" w:cs="宋体"/>
                <w:sz w:val="24"/>
                <w:lang w:val="en-US" w:eastAsia="zh-CN"/>
              </w:rPr>
            </w:pPr>
            <w:r>
              <w:rPr>
                <w:rFonts w:hint="eastAsia" w:ascii="宋体" w:hAnsi="宋体" w:eastAsia="宋体" w:cs="宋体"/>
                <w:sz w:val="24"/>
                <w:lang w:val="en-US" w:eastAsia="zh-CN"/>
              </w:rPr>
              <w:t>质保服务</w:t>
            </w:r>
          </w:p>
        </w:tc>
        <w:tc>
          <w:tcPr>
            <w:tcW w:w="6282" w:type="dxa"/>
            <w:vAlign w:val="center"/>
          </w:tcPr>
          <w:p>
            <w:pPr>
              <w:widowControl/>
              <w:spacing w:line="240" w:lineRule="atLeast"/>
              <w:ind w:firstLine="480" w:firstLineChars="200"/>
              <w:jc w:val="left"/>
              <w:rPr>
                <w:rFonts w:ascii="宋体" w:hAnsi="宋体" w:eastAsia="宋体" w:cs="宋体"/>
                <w:sz w:val="24"/>
              </w:rPr>
            </w:pPr>
            <w:r>
              <w:rPr>
                <w:rFonts w:hint="eastAsia" w:ascii="宋体" w:hAnsi="宋体" w:eastAsia="宋体" w:cs="宋体"/>
                <w:kern w:val="2"/>
                <w:sz w:val="24"/>
                <w:szCs w:val="24"/>
                <w:lang w:val="en-US" w:eastAsia="zh-CN" w:bidi="ar-SA"/>
              </w:rPr>
              <w:t>竞标人所承诺质保期、质保服务，在方案要求的质保期及服务基础之上的，经评审，优的得10分，依次减3分，减完为止，不提供资料不得分。</w:t>
            </w:r>
          </w:p>
        </w:tc>
        <w:tc>
          <w:tcPr>
            <w:tcW w:w="845" w:type="dxa"/>
            <w:vAlign w:val="center"/>
          </w:tcPr>
          <w:p>
            <w:pPr>
              <w:widowControl/>
              <w:spacing w:line="240" w:lineRule="atLeast"/>
              <w:jc w:val="center"/>
              <w:rPr>
                <w:rFonts w:ascii="宋体" w:hAnsi="宋体" w:eastAsia="宋体" w:cs="宋体"/>
                <w:sz w:val="24"/>
              </w:rPr>
            </w:pPr>
            <w:r>
              <w:rPr>
                <w:rFonts w:hint="eastAsia" w:ascii="宋体" w:hAnsi="宋体" w:eastAsia="宋体" w:cs="宋体"/>
                <w:sz w:val="24"/>
                <w:lang w:val="en-US" w:eastAsia="zh-CN"/>
              </w:rPr>
              <w:t>10</w:t>
            </w:r>
            <w:r>
              <w:rPr>
                <w:rFonts w:hint="eastAsia" w:ascii="宋体" w:hAnsi="宋体" w:eastAsia="宋体" w:cs="宋体"/>
                <w:sz w:val="24"/>
              </w:rPr>
              <w:t>分</w:t>
            </w:r>
          </w:p>
        </w:tc>
      </w:tr>
    </w:tbl>
    <w:p>
      <w:pPr>
        <w:widowControl/>
        <w:numPr>
          <w:ilvl w:val="0"/>
          <w:numId w:val="0"/>
        </w:numPr>
        <w:spacing w:line="560" w:lineRule="exact"/>
        <w:ind w:leftChars="0"/>
        <w:jc w:val="left"/>
      </w:pPr>
    </w:p>
    <w:bookmarkEnd w:id="3"/>
    <w:bookmarkEnd w:id="4"/>
    <w:p>
      <w:pPr>
        <w:pStyle w:val="3"/>
        <w:ind w:left="0" w:leftChars="0" w:firstLine="0" w:firstLineChars="0"/>
        <w:jc w:val="both"/>
        <w:rPr>
          <w:rFonts w:hint="eastAsia" w:eastAsia="宋体" w:cs="宋体"/>
          <w:b/>
          <w:sz w:val="30"/>
          <w:szCs w:val="30"/>
        </w:rPr>
      </w:pPr>
    </w:p>
    <w:p>
      <w:pPr>
        <w:pStyle w:val="3"/>
        <w:jc w:val="center"/>
        <w:rPr>
          <w:rFonts w:hint="eastAsia" w:eastAsia="宋体" w:cs="宋体"/>
          <w:b/>
          <w:sz w:val="30"/>
          <w:szCs w:val="30"/>
        </w:rPr>
      </w:pPr>
      <w:r>
        <w:rPr>
          <w:rFonts w:hint="eastAsia" w:eastAsia="宋体" w:cs="宋体"/>
          <w:b/>
          <w:sz w:val="30"/>
          <w:szCs w:val="30"/>
        </w:rPr>
        <w:t>竞选人须知</w:t>
      </w:r>
    </w:p>
    <w:p>
      <w:pPr>
        <w:pStyle w:val="3"/>
        <w:numPr>
          <w:ilvl w:val="0"/>
          <w:numId w:val="2"/>
        </w:numPr>
        <w:ind w:firstLine="482" w:firstLineChars="200"/>
        <w:rPr>
          <w:rFonts w:hint="eastAsia" w:eastAsia="宋体" w:cs="宋体"/>
          <w:b/>
          <w:bCs/>
          <w:szCs w:val="24"/>
        </w:rPr>
      </w:pPr>
      <w:r>
        <w:rPr>
          <w:rFonts w:hint="eastAsia" w:eastAsia="宋体" w:cs="宋体"/>
          <w:b/>
          <w:bCs/>
          <w:szCs w:val="24"/>
        </w:rPr>
        <w:t>响应文件要求</w:t>
      </w:r>
    </w:p>
    <w:p>
      <w:pPr>
        <w:numPr>
          <w:ilvl w:val="0"/>
          <w:numId w:val="3"/>
        </w:numPr>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竞选人应当按照方案商务要求、方案技术要求、择优方式要求等编制响应文件，响应文件原则上采用软面订本，同时应编制完整的页码、目录。</w:t>
      </w:r>
    </w:p>
    <w:p>
      <w:pPr>
        <w:pStyle w:val="6"/>
        <w:spacing w:line="320" w:lineRule="exact"/>
        <w:ind w:firstLine="480" w:firstLineChars="200"/>
        <w:rPr>
          <w:rFonts w:hint="eastAsia" w:hAnsi="宋体" w:eastAsia="宋体" w:cs="宋体"/>
          <w:sz w:val="24"/>
          <w:szCs w:val="24"/>
        </w:rPr>
      </w:pPr>
      <w:r>
        <w:rPr>
          <w:rFonts w:hint="eastAsia" w:hAnsi="宋体" w:eastAsia="宋体" w:cs="宋体"/>
          <w:sz w:val="24"/>
          <w:szCs w:val="24"/>
        </w:rPr>
        <w:t>2、响应方案一式</w:t>
      </w:r>
      <w:r>
        <w:rPr>
          <w:rFonts w:hint="eastAsia" w:hAnsi="宋体" w:eastAsia="宋体" w:cs="宋体"/>
          <w:sz w:val="24"/>
          <w:szCs w:val="24"/>
          <w:lang w:eastAsia="zh-CN"/>
        </w:rPr>
        <w:t>二</w:t>
      </w:r>
      <w:r>
        <w:rPr>
          <w:rFonts w:hint="eastAsia" w:hAnsi="宋体" w:eastAsia="宋体" w:cs="宋体"/>
          <w:sz w:val="24"/>
          <w:szCs w:val="24"/>
        </w:rPr>
        <w:t>份，其中正本一份，副本</w:t>
      </w:r>
      <w:r>
        <w:rPr>
          <w:rFonts w:hint="eastAsia" w:hAnsi="宋体" w:eastAsia="宋体" w:cs="宋体"/>
          <w:sz w:val="24"/>
          <w:szCs w:val="24"/>
          <w:lang w:eastAsia="zh-CN"/>
        </w:rPr>
        <w:t>一</w:t>
      </w:r>
      <w:r>
        <w:rPr>
          <w:rFonts w:hint="eastAsia" w:hAnsi="宋体" w:eastAsia="宋体" w:cs="宋体"/>
          <w:sz w:val="24"/>
          <w:szCs w:val="24"/>
        </w:rPr>
        <w:t>份。副本可为正本的复印件，必须与正本一致，如出现不一致情况以正本为准。响应方案的的正本、副本均应用文件袋密封。文件袋上注明项目名称、竞选人名称及 “不准提前启封”字样。文件袋的封口须加盖竞选人公章或授权代表签字。</w:t>
      </w:r>
    </w:p>
    <w:p>
      <w:pPr>
        <w:pStyle w:val="6"/>
        <w:spacing w:line="320" w:lineRule="exact"/>
        <w:ind w:firstLine="480" w:firstLineChars="200"/>
        <w:rPr>
          <w:rFonts w:hint="eastAsia" w:hAnsi="宋体" w:eastAsia="宋体" w:cs="宋体"/>
          <w:sz w:val="24"/>
          <w:szCs w:val="24"/>
        </w:rPr>
      </w:pPr>
      <w:r>
        <w:rPr>
          <w:rFonts w:hint="eastAsia" w:hAnsi="宋体" w:eastAsia="宋体" w:cs="宋体"/>
          <w:sz w:val="24"/>
          <w:szCs w:val="24"/>
        </w:rPr>
        <w:t>3、响应文件密封在一个文件袋内，如响应文件资料较多可分袋密封。响应文件密封后在密封处加盖竞选人公章。</w:t>
      </w:r>
    </w:p>
    <w:p>
      <w:pPr>
        <w:pStyle w:val="2"/>
        <w:ind w:firstLine="480" w:firstLineChars="200"/>
        <w:rPr>
          <w:rFonts w:hint="eastAsia" w:ascii="宋体" w:hAnsi="宋体" w:eastAsia="宋体" w:cs="宋体"/>
          <w:sz w:val="24"/>
          <w:szCs w:val="24"/>
        </w:rPr>
      </w:pPr>
      <w:r>
        <w:rPr>
          <w:rFonts w:hint="eastAsia" w:ascii="宋体" w:hAnsi="宋体" w:eastAsia="宋体" w:cs="宋体"/>
          <w:sz w:val="24"/>
          <w:szCs w:val="24"/>
        </w:rPr>
        <w:t>4、响应文件中须提供竞选人营业执照、法定代表人身份证明书及法定代表人授权委托书（格式自拟）、资格条件要求提供的其他资料（加盖竞选人鲜章）。</w:t>
      </w:r>
    </w:p>
    <w:p>
      <w:pPr>
        <w:pStyle w:val="2"/>
        <w:numPr>
          <w:ilvl w:val="0"/>
          <w:numId w:val="2"/>
        </w:num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方案评审</w:t>
      </w:r>
    </w:p>
    <w:p>
      <w:pPr>
        <w:pStyle w:val="2"/>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采购人对竞选人的提交的响应方案进行综合评审，择优选择2家及以上的竞选人，并在评审当天通知竞选人提交书面报价，其中报价最低的竞选人确定为成交人，所报价格即为合同价格。</w:t>
      </w:r>
      <w:r>
        <w:rPr>
          <w:rFonts w:hint="eastAsia" w:ascii="宋体" w:hAnsi="宋体" w:eastAsia="宋体" w:cs="宋体"/>
          <w:sz w:val="24"/>
          <w:szCs w:val="24"/>
          <w:lang w:eastAsia="zh-CN"/>
        </w:rPr>
        <w:t>竞选人未在采购人规定时限内或未按照采购人要求提交报价的，取消竞选资格。</w:t>
      </w:r>
    </w:p>
    <w:p>
      <w:pPr>
        <w:pStyle w:val="2"/>
        <w:numPr>
          <w:ilvl w:val="0"/>
          <w:numId w:val="2"/>
        </w:num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报价文件要求</w:t>
      </w:r>
      <w:bookmarkStart w:id="5" w:name="_GoBack"/>
      <w:bookmarkEnd w:id="5"/>
    </w:p>
    <w:p>
      <w:pPr>
        <w:pStyle w:val="3"/>
        <w:keepNext w:val="0"/>
        <w:keepLines w:val="0"/>
        <w:pageBreakBefore w:val="0"/>
        <w:widowControl w:val="0"/>
        <w:numPr>
          <w:ilvl w:val="0"/>
          <w:numId w:val="4"/>
        </w:numPr>
        <w:kinsoku/>
        <w:wordWrap/>
        <w:overflowPunct/>
        <w:topLinePunct w:val="0"/>
        <w:autoSpaceDE/>
        <w:autoSpaceDN/>
        <w:bidi w:val="0"/>
        <w:adjustRightInd/>
        <w:snapToGrid/>
        <w:spacing w:line="320" w:lineRule="exact"/>
        <w:ind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竞选人的报价包括但不限于：人工费、材料费（含场内转运）、运输费、设备使用费、安装调试费、措施费、疫情防控费、利润、管理费、增值税等。</w:t>
      </w:r>
    </w:p>
    <w:p>
      <w:pPr>
        <w:pStyle w:val="3"/>
        <w:keepNext w:val="0"/>
        <w:keepLines w:val="0"/>
        <w:pageBreakBefore w:val="0"/>
        <w:widowControl w:val="0"/>
        <w:numPr>
          <w:ilvl w:val="0"/>
          <w:numId w:val="4"/>
        </w:numPr>
        <w:kinsoku/>
        <w:wordWrap/>
        <w:overflowPunct/>
        <w:topLinePunct w:val="0"/>
        <w:autoSpaceDE/>
        <w:autoSpaceDN/>
        <w:bidi w:val="0"/>
        <w:adjustRightInd/>
        <w:snapToGrid/>
        <w:spacing w:line="320" w:lineRule="exact"/>
        <w:ind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竞选人需提供书面的签字盖章的报价文件，竞选人的报价为一次性报价，不得提交选择性报价。</w:t>
      </w:r>
    </w:p>
    <w:p>
      <w:pPr>
        <w:pStyle w:val="3"/>
        <w:keepNext w:val="0"/>
        <w:keepLines w:val="0"/>
        <w:pageBreakBefore w:val="0"/>
        <w:widowControl w:val="0"/>
        <w:numPr>
          <w:ilvl w:val="0"/>
          <w:numId w:val="4"/>
        </w:numPr>
        <w:kinsoku/>
        <w:wordWrap/>
        <w:overflowPunct/>
        <w:topLinePunct w:val="0"/>
        <w:autoSpaceDE/>
        <w:autoSpaceDN/>
        <w:bidi w:val="0"/>
        <w:adjustRightInd/>
        <w:snapToGrid/>
        <w:spacing w:line="320" w:lineRule="exact"/>
        <w:ind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本次竞价设定总价最高限价</w:t>
      </w:r>
      <w:r>
        <w:rPr>
          <w:rFonts w:hint="eastAsia" w:eastAsia="宋体" w:cs="宋体"/>
          <w:kern w:val="2"/>
          <w:sz w:val="24"/>
          <w:szCs w:val="24"/>
          <w:lang w:val="en-US" w:eastAsia="zh-CN" w:bidi="ar-SA"/>
        </w:rPr>
        <w:t>43.6</w:t>
      </w:r>
      <w:r>
        <w:rPr>
          <w:rFonts w:hint="eastAsia" w:ascii="宋体" w:hAnsi="宋体" w:eastAsia="宋体" w:cs="宋体"/>
          <w:kern w:val="2"/>
          <w:sz w:val="24"/>
          <w:szCs w:val="24"/>
          <w:lang w:val="en-US" w:eastAsia="zh-CN" w:bidi="ar-SA"/>
        </w:rPr>
        <w:t>万元；竞选人的报价不得超过最高限价，超过最高限价的否决其报价。</w:t>
      </w:r>
    </w:p>
    <w:p>
      <w:pPr>
        <w:pStyle w:val="2"/>
        <w:numPr>
          <w:ilvl w:val="0"/>
          <w:numId w:val="2"/>
        </w:num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报价格式</w:t>
      </w:r>
    </w:p>
    <w:p>
      <w:pPr>
        <w:snapToGrid w:val="0"/>
        <w:spacing w:line="320" w:lineRule="exact"/>
        <w:ind w:firstLine="480" w:firstLineChars="200"/>
        <w:rPr>
          <w:rFonts w:hint="eastAsia" w:eastAsia="宋体" w:cs="宋体"/>
          <w:b/>
          <w:sz w:val="30"/>
          <w:szCs w:val="30"/>
        </w:rPr>
      </w:pPr>
      <w:r>
        <w:rPr>
          <w:rFonts w:hint="eastAsia" w:ascii="宋体" w:hAnsi="宋体" w:eastAsia="宋体" w:cs="宋体"/>
          <w:sz w:val="24"/>
          <w:szCs w:val="24"/>
        </w:rPr>
        <w:t>1、竞选人报价格式见下表：</w:t>
      </w:r>
    </w:p>
    <w:p>
      <w:pPr>
        <w:pStyle w:val="3"/>
        <w:ind w:left="0" w:leftChars="0" w:firstLine="0" w:firstLineChars="0"/>
        <w:rPr>
          <w:rFonts w:hint="eastAsia" w:eastAsia="宋体" w:cs="宋体"/>
          <w:b/>
          <w:sz w:val="30"/>
          <w:szCs w:val="30"/>
        </w:rPr>
      </w:pPr>
    </w:p>
    <w:p>
      <w:pPr>
        <w:pStyle w:val="3"/>
        <w:ind w:firstLine="3614" w:firstLineChars="1200"/>
        <w:rPr>
          <w:rFonts w:hint="eastAsia" w:eastAsia="宋体" w:cs="宋体"/>
          <w:b/>
          <w:sz w:val="30"/>
          <w:szCs w:val="30"/>
        </w:rPr>
      </w:pPr>
      <w:r>
        <w:rPr>
          <w:rFonts w:hint="eastAsia" w:eastAsia="宋体" w:cs="宋体"/>
          <w:b/>
          <w:sz w:val="30"/>
          <w:szCs w:val="30"/>
        </w:rPr>
        <w:t>（一）报价单</w:t>
      </w:r>
    </w:p>
    <w:p>
      <w:pPr>
        <w:spacing w:line="500" w:lineRule="exact"/>
        <w:ind w:firstLine="240" w:firstLineChars="100"/>
        <w:rPr>
          <w:rFonts w:hint="eastAsia"/>
        </w:rPr>
      </w:pPr>
      <w:r>
        <w:rPr>
          <w:rFonts w:hint="eastAsia" w:ascii="宋体" w:hAnsi="宋体" w:eastAsia="宋体" w:cs="宋体"/>
          <w:sz w:val="24"/>
          <w:szCs w:val="28"/>
        </w:rPr>
        <w:t>采购项目名称：</w:t>
      </w:r>
    </w:p>
    <w:tbl>
      <w:tblPr>
        <w:tblStyle w:val="9"/>
        <w:tblW w:w="9835" w:type="dxa"/>
        <w:tblInd w:w="93" w:type="dxa"/>
        <w:tblLayout w:type="fixed"/>
        <w:tblCellMar>
          <w:top w:w="0" w:type="dxa"/>
          <w:left w:w="108" w:type="dxa"/>
          <w:bottom w:w="0" w:type="dxa"/>
          <w:right w:w="108" w:type="dxa"/>
        </w:tblCellMar>
      </w:tblPr>
      <w:tblGrid>
        <w:gridCol w:w="662"/>
        <w:gridCol w:w="1473"/>
        <w:gridCol w:w="2624"/>
        <w:gridCol w:w="1020"/>
        <w:gridCol w:w="1033"/>
        <w:gridCol w:w="1071"/>
        <w:gridCol w:w="1137"/>
        <w:gridCol w:w="815"/>
      </w:tblGrid>
      <w:tr>
        <w:tblPrEx>
          <w:tblCellMar>
            <w:top w:w="0" w:type="dxa"/>
            <w:left w:w="108" w:type="dxa"/>
            <w:bottom w:w="0" w:type="dxa"/>
            <w:right w:w="108" w:type="dxa"/>
          </w:tblCellMar>
        </w:tblPrEx>
        <w:trPr>
          <w:trHeight w:val="451" w:hRule="atLeast"/>
        </w:trPr>
        <w:tc>
          <w:tcPr>
            <w:tcW w:w="6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序号</w:t>
            </w:r>
          </w:p>
        </w:tc>
        <w:tc>
          <w:tcPr>
            <w:tcW w:w="14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项目名称</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施工作业内容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计量单位</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工程量</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综合单价</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合价</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备注</w:t>
            </w:r>
          </w:p>
        </w:tc>
      </w:tr>
      <w:tr>
        <w:tblPrEx>
          <w:tblCellMar>
            <w:top w:w="0" w:type="dxa"/>
            <w:left w:w="108" w:type="dxa"/>
            <w:bottom w:w="0" w:type="dxa"/>
            <w:right w:w="108" w:type="dxa"/>
          </w:tblCellMar>
        </w:tblPrEx>
        <w:trPr>
          <w:trHeight w:val="139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18"/>
                <w:szCs w:val="18"/>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宋体" w:hAnsi="宋体" w:eastAsia="宋体" w:cs="宋体"/>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18"/>
                <w:szCs w:val="18"/>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18"/>
                <w:szCs w:val="18"/>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18"/>
                <w:szCs w:val="18"/>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18"/>
                <w:szCs w:val="18"/>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10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18"/>
                <w:szCs w:val="18"/>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宋体" w:hAnsi="宋体" w:eastAsia="宋体" w:cs="宋体"/>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18"/>
                <w:szCs w:val="18"/>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18"/>
                <w:szCs w:val="18"/>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18"/>
                <w:szCs w:val="18"/>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18"/>
                <w:szCs w:val="18"/>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10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18"/>
                <w:szCs w:val="18"/>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宋体" w:hAnsi="宋体" w:eastAsia="宋体" w:cs="宋体"/>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18"/>
                <w:szCs w:val="18"/>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18"/>
                <w:szCs w:val="18"/>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18"/>
                <w:szCs w:val="18"/>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18"/>
                <w:szCs w:val="18"/>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451" w:hRule="atLeast"/>
        </w:trPr>
        <w:tc>
          <w:tcPr>
            <w:tcW w:w="7883" w:type="dxa"/>
            <w:gridSpan w:val="6"/>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直接费合计</w:t>
            </w:r>
          </w:p>
        </w:tc>
        <w:tc>
          <w:tcPr>
            <w:tcW w:w="11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b/>
                <w:bCs/>
                <w:color w:val="000000"/>
                <w:sz w:val="18"/>
                <w:szCs w:val="18"/>
              </w:rPr>
            </w:pPr>
          </w:p>
        </w:tc>
        <w:tc>
          <w:tcPr>
            <w:tcW w:w="8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451" w:hRule="atLeast"/>
        </w:trPr>
        <w:tc>
          <w:tcPr>
            <w:tcW w:w="7883" w:type="dxa"/>
            <w:gridSpan w:val="6"/>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管理费</w:t>
            </w:r>
          </w:p>
        </w:tc>
        <w:tc>
          <w:tcPr>
            <w:tcW w:w="11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color w:val="000000"/>
                <w:sz w:val="18"/>
                <w:szCs w:val="18"/>
              </w:rPr>
            </w:pPr>
          </w:p>
        </w:tc>
        <w:tc>
          <w:tcPr>
            <w:tcW w:w="8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108" w:type="dxa"/>
            <w:bottom w:w="0" w:type="dxa"/>
            <w:right w:w="108" w:type="dxa"/>
          </w:tblCellMar>
        </w:tblPrEx>
        <w:trPr>
          <w:trHeight w:val="451" w:hRule="atLeast"/>
        </w:trPr>
        <w:tc>
          <w:tcPr>
            <w:tcW w:w="7883" w:type="dxa"/>
            <w:gridSpan w:val="6"/>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税费</w:t>
            </w:r>
          </w:p>
        </w:tc>
        <w:tc>
          <w:tcPr>
            <w:tcW w:w="11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color w:val="000000"/>
                <w:sz w:val="18"/>
                <w:szCs w:val="18"/>
              </w:rPr>
            </w:pPr>
          </w:p>
        </w:tc>
        <w:tc>
          <w:tcPr>
            <w:tcW w:w="8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108" w:type="dxa"/>
            <w:bottom w:w="0" w:type="dxa"/>
            <w:right w:w="108" w:type="dxa"/>
          </w:tblCellMar>
        </w:tblPrEx>
        <w:trPr>
          <w:trHeight w:val="461" w:hRule="atLeast"/>
        </w:trPr>
        <w:tc>
          <w:tcPr>
            <w:tcW w:w="7883" w:type="dxa"/>
            <w:gridSpan w:val="6"/>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合   计</w:t>
            </w:r>
          </w:p>
        </w:tc>
        <w:tc>
          <w:tcPr>
            <w:tcW w:w="11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color w:val="000000"/>
                <w:sz w:val="18"/>
                <w:szCs w:val="18"/>
              </w:rPr>
            </w:pPr>
          </w:p>
        </w:tc>
        <w:tc>
          <w:tcPr>
            <w:tcW w:w="8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color w:val="000000"/>
                <w:sz w:val="18"/>
                <w:szCs w:val="18"/>
              </w:rPr>
            </w:pPr>
          </w:p>
        </w:tc>
      </w:tr>
    </w:tbl>
    <w:p>
      <w:pPr>
        <w:spacing w:line="500" w:lineRule="exact"/>
        <w:rPr>
          <w:rFonts w:hint="eastAsia" w:ascii="宋体" w:hAnsi="宋体" w:eastAsia="宋体" w:cs="宋体"/>
          <w:sz w:val="24"/>
          <w:szCs w:val="28"/>
        </w:rPr>
      </w:pPr>
    </w:p>
    <w:p>
      <w:pPr>
        <w:spacing w:line="440" w:lineRule="exact"/>
        <w:jc w:val="right"/>
        <w:rPr>
          <w:rFonts w:hint="eastAsia" w:ascii="宋体" w:hAnsi="宋体" w:eastAsia="宋体" w:cs="宋体"/>
          <w:sz w:val="24"/>
          <w:szCs w:val="28"/>
        </w:rPr>
      </w:pPr>
      <w:r>
        <w:rPr>
          <w:rFonts w:hint="eastAsia" w:ascii="宋体" w:hAnsi="宋体" w:cs="宋体"/>
          <w:sz w:val="24"/>
          <w:szCs w:val="28"/>
        </w:rPr>
        <w:t xml:space="preserve"> </w:t>
      </w:r>
      <w:r>
        <w:rPr>
          <w:rFonts w:hint="eastAsia" w:ascii="宋体" w:hAnsi="宋体" w:eastAsia="宋体" w:cs="宋体"/>
          <w:sz w:val="24"/>
          <w:szCs w:val="28"/>
        </w:rPr>
        <w:t>竞选人：</w:t>
      </w:r>
      <w:r>
        <w:rPr>
          <w:rFonts w:hint="eastAsia" w:ascii="宋体" w:hAnsi="宋体" w:eastAsia="宋体" w:cs="宋体"/>
          <w:sz w:val="24"/>
          <w:szCs w:val="28"/>
          <w:u w:val="single"/>
        </w:rPr>
        <w:t xml:space="preserve">  (报价单位名称）   </w:t>
      </w:r>
      <w:r>
        <w:rPr>
          <w:rFonts w:hint="eastAsia" w:ascii="宋体" w:hAnsi="宋体" w:eastAsia="宋体" w:cs="宋体"/>
          <w:sz w:val="24"/>
          <w:szCs w:val="28"/>
        </w:rPr>
        <w:t>（盖单位公章）</w:t>
      </w:r>
    </w:p>
    <w:p>
      <w:pPr>
        <w:spacing w:line="440" w:lineRule="exact"/>
        <w:jc w:val="right"/>
        <w:rPr>
          <w:rFonts w:hint="eastAsia" w:ascii="宋体" w:hAnsi="宋体" w:eastAsia="宋体" w:cs="宋体"/>
          <w:sz w:val="24"/>
          <w:szCs w:val="28"/>
        </w:rPr>
      </w:pPr>
      <w:r>
        <w:rPr>
          <w:rFonts w:hint="eastAsia" w:ascii="宋体" w:hAnsi="宋体" w:eastAsia="宋体" w:cs="宋体"/>
          <w:sz w:val="24"/>
          <w:szCs w:val="28"/>
        </w:rPr>
        <w:t>法定代表人或其委托代理人：</w:t>
      </w:r>
      <w:r>
        <w:rPr>
          <w:rFonts w:hint="eastAsia" w:ascii="宋体" w:hAnsi="宋体" w:eastAsia="宋体" w:cs="宋体"/>
          <w:sz w:val="24"/>
          <w:szCs w:val="28"/>
          <w:u w:val="single"/>
        </w:rPr>
        <w:t xml:space="preserve">  （签字）    </w:t>
      </w:r>
      <w:r>
        <w:rPr>
          <w:rFonts w:hint="eastAsia" w:ascii="宋体" w:hAnsi="宋体" w:eastAsia="宋体" w:cs="宋体"/>
          <w:sz w:val="24"/>
          <w:szCs w:val="28"/>
          <w:u w:val="single"/>
        </w:rPr>
        <w:tab/>
      </w:r>
    </w:p>
    <w:p>
      <w:pPr>
        <w:spacing w:line="440" w:lineRule="exact"/>
        <w:jc w:val="right"/>
        <w:rPr>
          <w:rFonts w:hint="eastAsia" w:ascii="宋体" w:hAnsi="宋体" w:eastAsia="宋体" w:cs="宋体"/>
          <w:sz w:val="24"/>
          <w:szCs w:val="28"/>
        </w:rPr>
      </w:pPr>
      <w:r>
        <w:rPr>
          <w:rFonts w:hint="eastAsia" w:ascii="宋体" w:hAnsi="宋体" w:eastAsia="宋体" w:cs="宋体"/>
          <w:sz w:val="24"/>
          <w:szCs w:val="28"/>
          <w:u w:val="single"/>
        </w:rPr>
        <w:t xml:space="preserve">    </w:t>
      </w:r>
      <w:r>
        <w:rPr>
          <w:rFonts w:hint="eastAsia" w:ascii="宋体" w:hAnsi="宋体" w:eastAsia="宋体" w:cs="宋体"/>
          <w:sz w:val="24"/>
          <w:szCs w:val="28"/>
        </w:rPr>
        <w:t>年</w:t>
      </w:r>
      <w:r>
        <w:rPr>
          <w:rFonts w:hint="eastAsia" w:ascii="宋体" w:hAnsi="宋体" w:eastAsia="宋体" w:cs="宋体"/>
          <w:sz w:val="24"/>
          <w:szCs w:val="28"/>
          <w:u w:val="single"/>
        </w:rPr>
        <w:t xml:space="preserve">    </w:t>
      </w:r>
      <w:r>
        <w:rPr>
          <w:rFonts w:hint="eastAsia" w:ascii="宋体" w:hAnsi="宋体" w:eastAsia="宋体" w:cs="宋体"/>
          <w:sz w:val="24"/>
          <w:szCs w:val="28"/>
        </w:rPr>
        <w:t>月</w:t>
      </w:r>
      <w:r>
        <w:rPr>
          <w:rFonts w:hint="eastAsia" w:ascii="宋体" w:hAnsi="宋体" w:eastAsia="宋体" w:cs="宋体"/>
          <w:sz w:val="24"/>
          <w:szCs w:val="28"/>
          <w:u w:val="single"/>
        </w:rPr>
        <w:t xml:space="preserve">    </w:t>
      </w:r>
      <w:r>
        <w:rPr>
          <w:rFonts w:hint="eastAsia" w:ascii="宋体" w:hAnsi="宋体" w:eastAsia="宋体" w:cs="宋体"/>
          <w:sz w:val="24"/>
          <w:szCs w:val="28"/>
        </w:rPr>
        <w:t>日</w:t>
      </w:r>
    </w:p>
    <w:p>
      <w:pPr>
        <w:snapToGrid w:val="0"/>
        <w:spacing w:line="500" w:lineRule="exact"/>
        <w:rPr>
          <w:rFonts w:hint="eastAsia" w:ascii="宋体" w:hAnsi="宋体" w:eastAsia="宋体" w:cs="宋体"/>
          <w:sz w:val="24"/>
          <w:szCs w:val="28"/>
        </w:rPr>
      </w:pPr>
    </w:p>
    <w:p>
      <w:pPr>
        <w:pStyle w:val="3"/>
        <w:ind w:firstLine="0"/>
        <w:rPr>
          <w:rFonts w:ascii="方正仿宋_GBK" w:hAnsi="方正仿宋_GBK" w:cs="方正仿宋_GBK"/>
          <w:szCs w:val="24"/>
        </w:rPr>
      </w:pPr>
    </w:p>
    <w:sectPr>
      <w:pgSz w:w="11906" w:h="16838"/>
      <w:pgMar w:top="850" w:right="1134" w:bottom="850" w:left="1134" w:header="851" w:footer="992" w:gutter="0"/>
      <w:cols w:space="720" w:num="1"/>
      <w:docGrid w:type="lines" w:linePitch="44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 Ming Li U">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1B2E2"/>
    <w:multiLevelType w:val="singleLevel"/>
    <w:tmpl w:val="9D81B2E2"/>
    <w:lvl w:ilvl="0" w:tentative="0">
      <w:start w:val="1"/>
      <w:numFmt w:val="decimal"/>
      <w:suff w:val="nothing"/>
      <w:lvlText w:val="（%1）"/>
      <w:lvlJc w:val="left"/>
    </w:lvl>
  </w:abstractNum>
  <w:abstractNum w:abstractNumId="1">
    <w:nsid w:val="9F3E1C70"/>
    <w:multiLevelType w:val="singleLevel"/>
    <w:tmpl w:val="9F3E1C70"/>
    <w:lvl w:ilvl="0" w:tentative="0">
      <w:start w:val="1"/>
      <w:numFmt w:val="decimal"/>
      <w:lvlText w:val="%1."/>
      <w:lvlJc w:val="left"/>
      <w:pPr>
        <w:tabs>
          <w:tab w:val="left" w:pos="312"/>
        </w:tabs>
      </w:pPr>
    </w:lvl>
  </w:abstractNum>
  <w:abstractNum w:abstractNumId="2">
    <w:nsid w:val="0B3D601E"/>
    <w:multiLevelType w:val="singleLevel"/>
    <w:tmpl w:val="0B3D601E"/>
    <w:lvl w:ilvl="0" w:tentative="0">
      <w:start w:val="1"/>
      <w:numFmt w:val="decimal"/>
      <w:lvlText w:val="%1."/>
      <w:lvlJc w:val="left"/>
      <w:pPr>
        <w:tabs>
          <w:tab w:val="left" w:pos="312"/>
        </w:tabs>
      </w:pPr>
    </w:lvl>
  </w:abstractNum>
  <w:abstractNum w:abstractNumId="3">
    <w:nsid w:val="69FB0466"/>
    <w:multiLevelType w:val="singleLevel"/>
    <w:tmpl w:val="69FB0466"/>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hyphenationZone w:val="360"/>
  <w:drawingGridVerticalSpacing w:val="22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91114"/>
    <w:rsid w:val="003D34C5"/>
    <w:rsid w:val="004C5672"/>
    <w:rsid w:val="005970B2"/>
    <w:rsid w:val="00AD6DFC"/>
    <w:rsid w:val="00CE3400"/>
    <w:rsid w:val="00DC3DC9"/>
    <w:rsid w:val="014C6B51"/>
    <w:rsid w:val="021A27AB"/>
    <w:rsid w:val="022907F1"/>
    <w:rsid w:val="0240322F"/>
    <w:rsid w:val="028033F8"/>
    <w:rsid w:val="02BC0120"/>
    <w:rsid w:val="032338E1"/>
    <w:rsid w:val="034E301C"/>
    <w:rsid w:val="04245B63"/>
    <w:rsid w:val="052D4EEB"/>
    <w:rsid w:val="057523EE"/>
    <w:rsid w:val="05847B67"/>
    <w:rsid w:val="05EB284D"/>
    <w:rsid w:val="066E6E7C"/>
    <w:rsid w:val="06C23411"/>
    <w:rsid w:val="06CD24E2"/>
    <w:rsid w:val="074F739B"/>
    <w:rsid w:val="07F615C4"/>
    <w:rsid w:val="080C0DE8"/>
    <w:rsid w:val="08C571E9"/>
    <w:rsid w:val="08F66541"/>
    <w:rsid w:val="091361A6"/>
    <w:rsid w:val="09572537"/>
    <w:rsid w:val="096802A0"/>
    <w:rsid w:val="0BF07AC3"/>
    <w:rsid w:val="0C127E9D"/>
    <w:rsid w:val="0D2D66D4"/>
    <w:rsid w:val="0D362F38"/>
    <w:rsid w:val="0DDE0004"/>
    <w:rsid w:val="0DF84AA9"/>
    <w:rsid w:val="0E811E04"/>
    <w:rsid w:val="10046849"/>
    <w:rsid w:val="113969C6"/>
    <w:rsid w:val="11C6025A"/>
    <w:rsid w:val="12045226"/>
    <w:rsid w:val="12E326D0"/>
    <w:rsid w:val="12EF558E"/>
    <w:rsid w:val="137168CF"/>
    <w:rsid w:val="13FF7A53"/>
    <w:rsid w:val="14283801"/>
    <w:rsid w:val="143771ED"/>
    <w:rsid w:val="15841786"/>
    <w:rsid w:val="15C72C7C"/>
    <w:rsid w:val="1629525B"/>
    <w:rsid w:val="168C1346"/>
    <w:rsid w:val="16F2564D"/>
    <w:rsid w:val="171C091C"/>
    <w:rsid w:val="17451C21"/>
    <w:rsid w:val="17785DBB"/>
    <w:rsid w:val="18613B5B"/>
    <w:rsid w:val="199B1FCC"/>
    <w:rsid w:val="19AE61A3"/>
    <w:rsid w:val="1A22449B"/>
    <w:rsid w:val="1A8312E8"/>
    <w:rsid w:val="1AB50E0D"/>
    <w:rsid w:val="1B240FF3"/>
    <w:rsid w:val="1B291859"/>
    <w:rsid w:val="1B5543FC"/>
    <w:rsid w:val="1B970EB9"/>
    <w:rsid w:val="1C1D316C"/>
    <w:rsid w:val="1D971AB4"/>
    <w:rsid w:val="1F5E41C7"/>
    <w:rsid w:val="2000726F"/>
    <w:rsid w:val="21355D53"/>
    <w:rsid w:val="21831769"/>
    <w:rsid w:val="22266AF2"/>
    <w:rsid w:val="226E2973"/>
    <w:rsid w:val="22BD30AE"/>
    <w:rsid w:val="22BE114F"/>
    <w:rsid w:val="23A577EC"/>
    <w:rsid w:val="23DD283A"/>
    <w:rsid w:val="23F92711"/>
    <w:rsid w:val="25E35426"/>
    <w:rsid w:val="2630419C"/>
    <w:rsid w:val="26F10941"/>
    <w:rsid w:val="282704C8"/>
    <w:rsid w:val="283A7B38"/>
    <w:rsid w:val="28F159D1"/>
    <w:rsid w:val="2A2E2BAF"/>
    <w:rsid w:val="2B577D1D"/>
    <w:rsid w:val="2BF745E7"/>
    <w:rsid w:val="2D2B7E9E"/>
    <w:rsid w:val="2D412A32"/>
    <w:rsid w:val="2D4C1B03"/>
    <w:rsid w:val="2D652BC5"/>
    <w:rsid w:val="2DD6761F"/>
    <w:rsid w:val="2DEA4E78"/>
    <w:rsid w:val="2E093550"/>
    <w:rsid w:val="2E2C2341"/>
    <w:rsid w:val="2E9B5619"/>
    <w:rsid w:val="2EBC12E0"/>
    <w:rsid w:val="2EF01B85"/>
    <w:rsid w:val="2F9B4F5A"/>
    <w:rsid w:val="30182170"/>
    <w:rsid w:val="30330D58"/>
    <w:rsid w:val="3038636F"/>
    <w:rsid w:val="30C47C02"/>
    <w:rsid w:val="30F54260"/>
    <w:rsid w:val="31501496"/>
    <w:rsid w:val="31B93BE5"/>
    <w:rsid w:val="31F97D80"/>
    <w:rsid w:val="33D77C4D"/>
    <w:rsid w:val="34330360"/>
    <w:rsid w:val="345614B9"/>
    <w:rsid w:val="35645212"/>
    <w:rsid w:val="35D60E05"/>
    <w:rsid w:val="36484E32"/>
    <w:rsid w:val="366F0610"/>
    <w:rsid w:val="37021484"/>
    <w:rsid w:val="37886FCD"/>
    <w:rsid w:val="38EA21D0"/>
    <w:rsid w:val="39225CE6"/>
    <w:rsid w:val="3995038E"/>
    <w:rsid w:val="39E9692C"/>
    <w:rsid w:val="3A8F1281"/>
    <w:rsid w:val="3BA743A8"/>
    <w:rsid w:val="3C4147FD"/>
    <w:rsid w:val="3CEF0D11"/>
    <w:rsid w:val="3D801355"/>
    <w:rsid w:val="3DBD7EB3"/>
    <w:rsid w:val="3E7013C9"/>
    <w:rsid w:val="3EE82A61"/>
    <w:rsid w:val="3EED47C8"/>
    <w:rsid w:val="3EF26282"/>
    <w:rsid w:val="3F1B30E3"/>
    <w:rsid w:val="3F917849"/>
    <w:rsid w:val="3FF02A14"/>
    <w:rsid w:val="40E83499"/>
    <w:rsid w:val="41627458"/>
    <w:rsid w:val="41D47FCE"/>
    <w:rsid w:val="421F2E2C"/>
    <w:rsid w:val="42755200"/>
    <w:rsid w:val="449371DD"/>
    <w:rsid w:val="454F1D39"/>
    <w:rsid w:val="45991206"/>
    <w:rsid w:val="45A8769B"/>
    <w:rsid w:val="45BB2A26"/>
    <w:rsid w:val="45C1250B"/>
    <w:rsid w:val="46170336"/>
    <w:rsid w:val="46170428"/>
    <w:rsid w:val="46853538"/>
    <w:rsid w:val="46A50CD8"/>
    <w:rsid w:val="46F96400"/>
    <w:rsid w:val="46FC37FA"/>
    <w:rsid w:val="47574ED5"/>
    <w:rsid w:val="476B4E24"/>
    <w:rsid w:val="47C51174"/>
    <w:rsid w:val="47C63E08"/>
    <w:rsid w:val="47E0311C"/>
    <w:rsid w:val="47E36768"/>
    <w:rsid w:val="48F14EB5"/>
    <w:rsid w:val="490A2706"/>
    <w:rsid w:val="4A730277"/>
    <w:rsid w:val="4B105AC6"/>
    <w:rsid w:val="4BD76A1F"/>
    <w:rsid w:val="4CAC181F"/>
    <w:rsid w:val="4D0B0C3B"/>
    <w:rsid w:val="4DAB7D28"/>
    <w:rsid w:val="4DB21FB5"/>
    <w:rsid w:val="4E037B64"/>
    <w:rsid w:val="4EA872F2"/>
    <w:rsid w:val="4EC72940"/>
    <w:rsid w:val="4F381A8F"/>
    <w:rsid w:val="4F6E725F"/>
    <w:rsid w:val="4F8B7E11"/>
    <w:rsid w:val="508036EE"/>
    <w:rsid w:val="50CC06E1"/>
    <w:rsid w:val="50EC1F07"/>
    <w:rsid w:val="51024103"/>
    <w:rsid w:val="51353003"/>
    <w:rsid w:val="52701540"/>
    <w:rsid w:val="528172AA"/>
    <w:rsid w:val="5285323E"/>
    <w:rsid w:val="52D9611E"/>
    <w:rsid w:val="535C6817"/>
    <w:rsid w:val="53B11E10"/>
    <w:rsid w:val="53DF24DA"/>
    <w:rsid w:val="53E67D0C"/>
    <w:rsid w:val="54BB67F6"/>
    <w:rsid w:val="55555AE8"/>
    <w:rsid w:val="562E599A"/>
    <w:rsid w:val="56D025AE"/>
    <w:rsid w:val="56E878F7"/>
    <w:rsid w:val="57462870"/>
    <w:rsid w:val="574A2360"/>
    <w:rsid w:val="57592CBF"/>
    <w:rsid w:val="57B1418D"/>
    <w:rsid w:val="596630ED"/>
    <w:rsid w:val="597B512C"/>
    <w:rsid w:val="5A7B0A82"/>
    <w:rsid w:val="5A946B2A"/>
    <w:rsid w:val="5B266C40"/>
    <w:rsid w:val="5B303F63"/>
    <w:rsid w:val="5BBD7249"/>
    <w:rsid w:val="5BD112A2"/>
    <w:rsid w:val="5BD14DFE"/>
    <w:rsid w:val="5C621EFA"/>
    <w:rsid w:val="5CA249EC"/>
    <w:rsid w:val="5D485594"/>
    <w:rsid w:val="5D5F6439"/>
    <w:rsid w:val="5D8F31C2"/>
    <w:rsid w:val="5DBC388C"/>
    <w:rsid w:val="5E7B0CE3"/>
    <w:rsid w:val="5EC073AC"/>
    <w:rsid w:val="5F183E1A"/>
    <w:rsid w:val="5FBE38EB"/>
    <w:rsid w:val="6065020A"/>
    <w:rsid w:val="60E12101"/>
    <w:rsid w:val="61044A3C"/>
    <w:rsid w:val="61477910"/>
    <w:rsid w:val="61916060"/>
    <w:rsid w:val="61E86A3C"/>
    <w:rsid w:val="62897722"/>
    <w:rsid w:val="62AC3983"/>
    <w:rsid w:val="62DB2A06"/>
    <w:rsid w:val="634B55D8"/>
    <w:rsid w:val="64A01811"/>
    <w:rsid w:val="660B0D74"/>
    <w:rsid w:val="66292447"/>
    <w:rsid w:val="662B0738"/>
    <w:rsid w:val="66345E5B"/>
    <w:rsid w:val="66F1473C"/>
    <w:rsid w:val="687F308D"/>
    <w:rsid w:val="697C3EC8"/>
    <w:rsid w:val="69B813AB"/>
    <w:rsid w:val="6A1305BA"/>
    <w:rsid w:val="6A4978DC"/>
    <w:rsid w:val="6A5F4DAD"/>
    <w:rsid w:val="6B0D792C"/>
    <w:rsid w:val="6B426AD4"/>
    <w:rsid w:val="6B9F7B6E"/>
    <w:rsid w:val="6DFB3F5C"/>
    <w:rsid w:val="6ED547AD"/>
    <w:rsid w:val="6EF074E6"/>
    <w:rsid w:val="6F2319BD"/>
    <w:rsid w:val="6F2B6AC3"/>
    <w:rsid w:val="6F881820"/>
    <w:rsid w:val="6FA80114"/>
    <w:rsid w:val="6FB72105"/>
    <w:rsid w:val="6FCE4D3B"/>
    <w:rsid w:val="706F478E"/>
    <w:rsid w:val="70C431ED"/>
    <w:rsid w:val="71166F8B"/>
    <w:rsid w:val="71344C68"/>
    <w:rsid w:val="7197343A"/>
    <w:rsid w:val="71ED7ADA"/>
    <w:rsid w:val="72D336FA"/>
    <w:rsid w:val="72D9685A"/>
    <w:rsid w:val="74253AE1"/>
    <w:rsid w:val="743E4BA3"/>
    <w:rsid w:val="74CF1255"/>
    <w:rsid w:val="75343989"/>
    <w:rsid w:val="7544268D"/>
    <w:rsid w:val="75A31161"/>
    <w:rsid w:val="75AE7B06"/>
    <w:rsid w:val="75C8506C"/>
    <w:rsid w:val="76C16F5D"/>
    <w:rsid w:val="78EF2E3F"/>
    <w:rsid w:val="79A7319B"/>
    <w:rsid w:val="79E12EBC"/>
    <w:rsid w:val="7A2605B3"/>
    <w:rsid w:val="7AFD38F4"/>
    <w:rsid w:val="7BC71559"/>
    <w:rsid w:val="7C604BA8"/>
    <w:rsid w:val="7D0E3318"/>
    <w:rsid w:val="7D292894"/>
    <w:rsid w:val="7D7E4647"/>
    <w:rsid w:val="7EC64112"/>
    <w:rsid w:val="7EFE38AC"/>
    <w:rsid w:val="7F623E3B"/>
    <w:rsid w:val="7F741D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4">
    <w:name w:val="heading 2"/>
    <w:basedOn w:val="1"/>
    <w:next w:val="1"/>
    <w:qFormat/>
    <w:uiPriority w:val="0"/>
    <w:pPr>
      <w:keepNext/>
      <w:keepLines/>
      <w:adjustRightInd w:val="0"/>
      <w:snapToGrid w:val="0"/>
      <w:spacing w:line="360" w:lineRule="auto"/>
      <w:outlineLvl w:val="1"/>
    </w:pPr>
    <w:rPr>
      <w:rFonts w:ascii="宋体" w:hAnsi="宋体"/>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styleId="3">
    <w:name w:val="Body Text First Indent"/>
    <w:basedOn w:val="2"/>
    <w:qFormat/>
    <w:uiPriority w:val="0"/>
    <w:pPr>
      <w:spacing w:line="360" w:lineRule="auto"/>
      <w:ind w:firstLine="420"/>
    </w:pPr>
    <w:rPr>
      <w:rFonts w:ascii="宋体" w:hAnsi="宋体"/>
      <w:sz w:val="24"/>
    </w:rPr>
  </w:style>
  <w:style w:type="paragraph" w:styleId="5">
    <w:name w:val="Body Text Indent"/>
    <w:basedOn w:val="1"/>
    <w:qFormat/>
    <w:uiPriority w:val="0"/>
    <w:pPr>
      <w:spacing w:line="700" w:lineRule="exact"/>
      <w:ind w:left="960"/>
    </w:pPr>
    <w:rPr>
      <w:sz w:val="44"/>
    </w:rPr>
  </w:style>
  <w:style w:type="paragraph" w:styleId="6">
    <w:name w:val="Plain Text"/>
    <w:basedOn w:val="1"/>
    <w:qFormat/>
    <w:uiPriority w:val="0"/>
    <w:pPr>
      <w:adjustRightInd w:val="0"/>
      <w:snapToGrid w:val="0"/>
      <w:spacing w:line="360" w:lineRule="auto"/>
    </w:pPr>
    <w:rPr>
      <w:rFonts w:ascii="宋体" w:hAnsi="Courier New"/>
      <w:sz w:val="21"/>
    </w:rPr>
  </w:style>
  <w:style w:type="paragraph" w:styleId="7">
    <w:name w:val="Date"/>
    <w:basedOn w:val="1"/>
    <w:next w:val="1"/>
    <w:qFormat/>
    <w:uiPriority w:val="0"/>
  </w:style>
  <w:style w:type="paragraph" w:styleId="8">
    <w:name w:val="Body Text First Indent 2"/>
    <w:basedOn w:val="5"/>
    <w:qFormat/>
    <w:uiPriority w:val="0"/>
    <w:pPr>
      <w:spacing w:after="120" w:afterLines="0" w:afterAutospacing="0" w:line="240" w:lineRule="auto"/>
      <w:ind w:left="420" w:leftChars="200" w:firstLine="420" w:firstLineChars="200"/>
    </w:pPr>
    <w:rPr>
      <w:sz w:val="21"/>
    </w:rPr>
  </w:style>
  <w:style w:type="paragraph" w:customStyle="1" w:styleId="11">
    <w:name w:val="Default"/>
    <w:qFormat/>
    <w:uiPriority w:val="0"/>
    <w:pPr>
      <w:widowControl w:val="0"/>
      <w:autoSpaceDE w:val="0"/>
      <w:autoSpaceDN w:val="0"/>
      <w:adjustRightInd w:val="0"/>
    </w:pPr>
    <w:rPr>
      <w:rFonts w:ascii="P Ming Li U" w:hAnsi="Times New Roman" w:eastAsia="P Ming Li U" w:cs="P Ming Li U"/>
      <w:color w:val="000000"/>
      <w:sz w:val="24"/>
      <w:szCs w:val="24"/>
      <w:lang w:val="en-US" w:eastAsia="zh-CN" w:bidi="ar-SA"/>
    </w:rPr>
  </w:style>
  <w:style w:type="character" w:customStyle="1" w:styleId="12">
    <w:name w:val="font21"/>
    <w:qFormat/>
    <w:uiPriority w:val="0"/>
    <w:rPr>
      <w:rFonts w:hint="eastAsia" w:ascii="宋体" w:hAnsi="宋体" w:eastAsia="宋体" w:cs="宋体"/>
      <w:color w:val="000000"/>
      <w:sz w:val="18"/>
      <w:szCs w:val="18"/>
      <w:u w:val="none"/>
    </w:rPr>
  </w:style>
  <w:style w:type="character" w:customStyle="1" w:styleId="13">
    <w:name w:val="font41"/>
    <w:basedOn w:val="10"/>
    <w:qFormat/>
    <w:uiPriority w:val="0"/>
    <w:rPr>
      <w:rFonts w:ascii="微软雅黑" w:hAnsi="微软雅黑" w:eastAsia="微软雅黑" w:cs="微软雅黑"/>
      <w:color w:val="000000"/>
      <w:sz w:val="16"/>
      <w:szCs w:val="16"/>
      <w:u w:val="none"/>
    </w:rPr>
  </w:style>
  <w:style w:type="character" w:customStyle="1" w:styleId="14">
    <w:name w:val="font31"/>
    <w:basedOn w:val="1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537</Words>
  <Characters>3061</Characters>
  <Lines>25</Lines>
  <Paragraphs>7</Paragraphs>
  <TotalTime>49</TotalTime>
  <ScaleCrop>false</ScaleCrop>
  <LinksUpToDate>false</LinksUpToDate>
  <CharactersWithSpaces>3591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2021-11-16T06:22:00Z</dcterms:created>
  <dc:creator>jj</dc:creator>
  <cp:lastModifiedBy>王海洋</cp:lastModifiedBy>
  <cp:lastPrinted>2022-01-14T02:03:18Z</cp:lastPrinted>
  <dcterms:modified xsi:type="dcterms:W3CDTF">2022-01-14T03:10:38Z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873B4CD406304CEC9B88BBA28EE480B3</vt:lpwstr>
  </property>
</Properties>
</file>