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firstLine="241"/>
        <w:rPr>
          <w:rFonts w:cs="宋体"/>
          <w:b/>
        </w:rPr>
      </w:pPr>
      <w:r>
        <w:rPr>
          <w:rFonts w:hint="eastAsia" w:ascii="宋体" w:hAnsi="宋体" w:eastAsia="宋体" w:cs="宋体"/>
          <w:b/>
          <w:sz w:val="24"/>
          <w:szCs w:val="24"/>
        </w:rPr>
        <w:t>附件</w:t>
      </w:r>
    </w:p>
    <w:p>
      <w:pPr>
        <w:pStyle w:val="6"/>
        <w:ind w:firstLine="281"/>
        <w:jc w:val="center"/>
        <w:rPr>
          <w:rFonts w:eastAsia="宋体" w:cs="宋体"/>
          <w:b/>
          <w:sz w:val="28"/>
          <w:szCs w:val="28"/>
        </w:rPr>
      </w:pPr>
      <w:r>
        <w:rPr>
          <w:rFonts w:hint="eastAsia" w:eastAsia="宋体" w:cs="宋体"/>
          <w:b/>
          <w:sz w:val="28"/>
          <w:szCs w:val="28"/>
        </w:rPr>
        <w:t>重庆市永川区益景环保科技有限公司车辆定点维修采购项目</w:t>
      </w:r>
    </w:p>
    <w:p>
      <w:pPr>
        <w:pStyle w:val="6"/>
        <w:ind w:firstLine="281"/>
        <w:jc w:val="center"/>
        <w:rPr>
          <w:rFonts w:eastAsia="宋体" w:cs="宋体"/>
          <w:b/>
          <w:sz w:val="28"/>
          <w:szCs w:val="28"/>
        </w:rPr>
      </w:pPr>
      <w:r>
        <w:rPr>
          <w:rFonts w:hint="eastAsia" w:eastAsia="宋体" w:cs="宋体"/>
          <w:b/>
          <w:sz w:val="28"/>
          <w:szCs w:val="28"/>
        </w:rPr>
        <w:t>采购方案要求</w:t>
      </w:r>
    </w:p>
    <w:p>
      <w:pPr>
        <w:pStyle w:val="4"/>
        <w:spacing w:line="400" w:lineRule="exact"/>
        <w:ind w:firstLine="480" w:firstLineChars="200"/>
        <w:rPr>
          <w:rFonts w:ascii="方正黑体_GBK" w:hAnsi="方正黑体_GBK" w:eastAsia="方正黑体_GBK" w:cs="方正黑体_GBK"/>
          <w:bCs/>
          <w:sz w:val="24"/>
          <w:szCs w:val="24"/>
        </w:rPr>
      </w:pPr>
      <w:r>
        <w:rPr>
          <w:rFonts w:hint="eastAsia" w:ascii="方正黑体_GBK" w:hAnsi="方正黑体_GBK" w:eastAsia="方正黑体_GBK" w:cs="方正黑体_GBK"/>
          <w:bCs/>
          <w:sz w:val="24"/>
          <w:szCs w:val="24"/>
        </w:rPr>
        <w:t>一、采购项目内容</w:t>
      </w:r>
    </w:p>
    <w:p>
      <w:pPr>
        <w:spacing w:line="400" w:lineRule="exact"/>
      </w:pPr>
      <w:r>
        <w:rPr>
          <w:rFonts w:hint="eastAsia"/>
        </w:rPr>
        <w:t xml:space="preserve">     </w:t>
      </w:r>
      <w:r>
        <w:rPr>
          <w:rFonts w:hint="eastAsia" w:ascii="方正仿宋_GBK" w:hAnsi="方正仿宋_GBK" w:eastAsia="方正仿宋_GBK" w:cs="方正仿宋_GBK"/>
          <w:sz w:val="24"/>
          <w:szCs w:val="24"/>
        </w:rPr>
        <w:t>采购内容：为重庆市永川区益景环保科技有限公司所属生产车辆提供车辆维修维保服务。合同服务有效期为一年。</w:t>
      </w:r>
    </w:p>
    <w:p>
      <w:pPr>
        <w:pStyle w:val="4"/>
        <w:spacing w:line="400" w:lineRule="exact"/>
        <w:ind w:firstLine="480" w:firstLineChars="200"/>
        <w:rPr>
          <w:rFonts w:ascii="方正黑体_GBK" w:hAnsi="方正黑体_GBK" w:eastAsia="方正黑体_GBK" w:cs="方正黑体_GBK"/>
          <w:bCs/>
          <w:sz w:val="24"/>
          <w:szCs w:val="24"/>
        </w:rPr>
      </w:pPr>
      <w:bookmarkStart w:id="0" w:name="_Toc22436"/>
      <w:bookmarkStart w:id="1" w:name="_Toc8357"/>
      <w:bookmarkStart w:id="2" w:name="_Toc441589315"/>
      <w:bookmarkStart w:id="3" w:name="_Toc267320050"/>
      <w:r>
        <w:rPr>
          <w:rFonts w:hint="eastAsia" w:ascii="方正黑体_GBK" w:hAnsi="方正黑体_GBK" w:eastAsia="方正黑体_GBK" w:cs="方正黑体_GBK"/>
          <w:bCs/>
          <w:sz w:val="24"/>
          <w:szCs w:val="24"/>
        </w:rPr>
        <w:t>二、报价要求</w:t>
      </w:r>
      <w:bookmarkEnd w:id="0"/>
      <w:bookmarkEnd w:id="1"/>
      <w:bookmarkEnd w:id="2"/>
    </w:p>
    <w:bookmarkEnd w:id="3"/>
    <w:p>
      <w:pPr>
        <w:pStyle w:val="5"/>
        <w:spacing w:after="0"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1、竞选报价为：配件材料费用+维修工时费用，请按各单项配件材料、维修工时分别报价，报价包括税金以及所有相关费用。</w:t>
      </w:r>
    </w:p>
    <w:p>
      <w:pPr>
        <w:pStyle w:val="4"/>
        <w:keepNext w:val="0"/>
        <w:keepLines w:val="0"/>
        <w:kinsoku w:val="0"/>
        <w:overflowPunct w:val="0"/>
        <w:autoSpaceDE w:val="0"/>
        <w:autoSpaceDN w:val="0"/>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2、本次报价须为人民币报价。</w:t>
      </w:r>
    </w:p>
    <w:p>
      <w:pPr>
        <w:pStyle w:val="4"/>
        <w:spacing w:line="400" w:lineRule="exact"/>
        <w:ind w:firstLine="480" w:firstLineChars="200"/>
        <w:rPr>
          <w:rFonts w:ascii="方正黑体_GBK" w:hAnsi="方正黑体_GBK" w:eastAsia="方正黑体_GBK" w:cs="方正黑体_GBK"/>
          <w:bCs/>
          <w:sz w:val="24"/>
          <w:szCs w:val="24"/>
        </w:rPr>
      </w:pPr>
      <w:r>
        <w:rPr>
          <w:rFonts w:hint="eastAsia" w:ascii="方正黑体_GBK" w:hAnsi="方正黑体_GBK" w:eastAsia="方正黑体_GBK" w:cs="方正黑体_GBK"/>
          <w:bCs/>
          <w:sz w:val="24"/>
          <w:szCs w:val="24"/>
        </w:rPr>
        <w:t>三、付款方式与结算时间</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1.付款方式：银行转账。</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2.结算方式：按季度进行结算。</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3.结算时间：甲乙双方在每季度结束15工作日内办理结算手续。</w:t>
      </w:r>
    </w:p>
    <w:p>
      <w:pPr>
        <w:pStyle w:val="5"/>
        <w:spacing w:after="0"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4.合同范围外新增服务项目的结算原则：由乙方向甲方报价，经甲方审核确认同意后纳入费用结算及支付。新增部分为本合同的共同组成部分，适用本合同的相关约定。</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5.竞选人需提供以下资料：</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A：验收资料；</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B：支付申请；</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C：提供与支付金额等额的满足税法规定的有效的增值税专用发票；</w:t>
      </w:r>
    </w:p>
    <w:p>
      <w:pPr>
        <w:pStyle w:val="4"/>
        <w:keepNext w:val="0"/>
        <w:keepLines w:val="0"/>
        <w:kinsoku w:val="0"/>
        <w:overflowPunct w:val="0"/>
        <w:autoSpaceDE w:val="0"/>
        <w:autoSpaceDN w:val="0"/>
        <w:spacing w:line="400" w:lineRule="exact"/>
        <w:ind w:firstLine="480" w:firstLineChars="200"/>
        <w:rPr>
          <w:rFonts w:eastAsia="宋体" w:cs="宋体"/>
          <w:bCs/>
          <w:sz w:val="24"/>
          <w:szCs w:val="24"/>
        </w:rPr>
      </w:pPr>
      <w:r>
        <w:rPr>
          <w:rFonts w:hint="eastAsia" w:ascii="方正仿宋_GBK" w:hAnsi="方正仿宋_GBK" w:cs="方正仿宋_GBK"/>
          <w:sz w:val="24"/>
          <w:szCs w:val="24"/>
        </w:rPr>
        <w:t>D：甲方要求的其他支付、结算表格及资料。</w:t>
      </w:r>
    </w:p>
    <w:p>
      <w:pPr>
        <w:pStyle w:val="4"/>
        <w:numPr>
          <w:ilvl w:val="0"/>
          <w:numId w:val="1"/>
        </w:numPr>
        <w:spacing w:line="400" w:lineRule="exact"/>
        <w:ind w:firstLine="480" w:firstLineChars="200"/>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维修服务要求及质量保证</w:t>
      </w:r>
    </w:p>
    <w:p>
      <w:pPr>
        <w:pStyle w:val="5"/>
        <w:spacing w:after="0" w:line="400" w:lineRule="exact"/>
        <w:ind w:firstLine="420" w:firstLineChars="200"/>
        <w:rPr>
          <w:rFonts w:ascii="方正仿宋_GBK" w:hAnsi="方正仿宋_GBK" w:eastAsia="方正仿宋_GBK" w:cs="方正仿宋_GBK"/>
          <w:sz w:val="24"/>
          <w:szCs w:val="24"/>
        </w:rPr>
      </w:pPr>
      <w:r>
        <w:rPr>
          <w:rFonts w:hint="eastAsia"/>
        </w:rPr>
        <w:t xml:space="preserve"> </w:t>
      </w:r>
      <w:r>
        <w:rPr>
          <w:rFonts w:hint="eastAsia" w:ascii="方正仿宋_GBK" w:hAnsi="方正仿宋_GBK" w:eastAsia="方正仿宋_GBK" w:cs="方正仿宋_GBK"/>
          <w:sz w:val="24"/>
          <w:szCs w:val="24"/>
        </w:rPr>
        <w:t>1.保证比选人的维修车辆随到随修和优先维修，在接收车辆后8小时内提供大修方案及报价，2小时内提供一般维修方案及报价，维修方案确定后，7天内完成发动机大修，3天内完成底盘大修，1天内完成一般维修。</w:t>
      </w:r>
    </w:p>
    <w:p>
      <w:pPr>
        <w:pStyle w:val="5"/>
        <w:spacing w:after="0"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2.提供365天24小时接收送修车辆和服务区域范围急救2小时内响应到事故现场的服务。</w:t>
      </w:r>
    </w:p>
    <w:p>
      <w:pPr>
        <w:pStyle w:val="5"/>
        <w:spacing w:after="0"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 xml:space="preserve">3.维修项目质量保证期：发动机和牙箱总成维修质量保证期为车辆行驶20000公里或者100天；一级维护、小修及专项修理质量保证期为车辆行驶2000公里或者30天（质量保证期中行驶的公里数和日期指标，以先达者为准），保质期从比选人接车之日起开始计算。在保证期内进场返修，产生的所有费用由竞选人承担；超出保证期进场维修的，产生的所有费用由比选人承担。 </w:t>
      </w:r>
    </w:p>
    <w:p>
      <w:pPr>
        <w:pStyle w:val="5"/>
        <w:spacing w:after="0" w:line="400" w:lineRule="exact"/>
        <w:ind w:firstLine="480" w:firstLineChars="200"/>
      </w:pPr>
      <w:r>
        <w:rPr>
          <w:rFonts w:hint="eastAsia" w:ascii="方正仿宋_GBK" w:hAnsi="方正仿宋_GBK" w:eastAsia="方正仿宋_GBK" w:cs="方正仿宋_GBK"/>
          <w:sz w:val="24"/>
          <w:szCs w:val="24"/>
        </w:rPr>
        <w:t>4.竞选人应配备维修相关从业人员、具备营业场所、各岗位作业规程等内容。</w:t>
      </w:r>
    </w:p>
    <w:p>
      <w:pPr>
        <w:pStyle w:val="4"/>
        <w:spacing w:line="400" w:lineRule="exact"/>
        <w:ind w:firstLine="480" w:firstLineChars="200"/>
        <w:rPr>
          <w:rFonts w:ascii="方正黑体_GBK" w:hAnsi="方正黑体_GBK" w:eastAsia="方正黑体_GBK" w:cs="方正黑体_GBK"/>
          <w:bCs/>
          <w:sz w:val="24"/>
          <w:szCs w:val="24"/>
        </w:rPr>
      </w:pPr>
      <w:r>
        <w:rPr>
          <w:rFonts w:hint="eastAsia" w:ascii="方正黑体_GBK" w:hAnsi="方正黑体_GBK" w:eastAsia="方正黑体_GBK" w:cs="方正黑体_GBK"/>
          <w:bCs/>
          <w:sz w:val="24"/>
          <w:szCs w:val="24"/>
        </w:rPr>
        <w:t>五、验收标准</w:t>
      </w:r>
    </w:p>
    <w:p>
      <w:pPr>
        <w:pStyle w:val="5"/>
        <w:spacing w:after="0"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bCs/>
          <w:sz w:val="24"/>
          <w:szCs w:val="24"/>
        </w:rPr>
        <w:t>1.</w:t>
      </w:r>
      <w:r>
        <w:rPr>
          <w:rFonts w:hint="eastAsia" w:ascii="方正仿宋_GBK" w:hAnsi="方正仿宋_GBK" w:eastAsia="方正仿宋_GBK" w:cs="方正仿宋_GBK"/>
          <w:sz w:val="24"/>
          <w:szCs w:val="24"/>
        </w:rPr>
        <w:t>维修内容与维修计划一致，性能指标达到规定的标准。</w:t>
      </w:r>
    </w:p>
    <w:p>
      <w:pPr>
        <w:pStyle w:val="5"/>
        <w:spacing w:after="0"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2.维修用配件技术资料、合格证等资料齐全。</w:t>
      </w:r>
    </w:p>
    <w:p>
      <w:pPr>
        <w:pStyle w:val="5"/>
        <w:spacing w:after="0"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3.维修故障得到解决，并运行正常。</w:t>
      </w:r>
    </w:p>
    <w:p>
      <w:pPr>
        <w:pStyle w:val="5"/>
        <w:spacing w:after="0"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4.验收合格后甲乙双方需签订经双方签字盖章的验收确认单。</w:t>
      </w:r>
    </w:p>
    <w:p>
      <w:pPr>
        <w:pStyle w:val="4"/>
        <w:spacing w:line="400" w:lineRule="exact"/>
        <w:ind w:firstLine="480" w:firstLineChars="200"/>
        <w:rPr>
          <w:rFonts w:ascii="方正黑体_GBK" w:hAnsi="方正黑体_GBK" w:eastAsia="方正黑体_GBK" w:cs="方正黑体_GBK"/>
          <w:bCs/>
          <w:sz w:val="24"/>
          <w:szCs w:val="24"/>
        </w:rPr>
      </w:pPr>
      <w:r>
        <w:rPr>
          <w:rFonts w:hint="eastAsia" w:ascii="方正黑体_GBK" w:hAnsi="方正黑体_GBK" w:eastAsia="方正黑体_GBK" w:cs="方正黑体_GBK"/>
          <w:bCs/>
          <w:sz w:val="24"/>
          <w:szCs w:val="24"/>
        </w:rPr>
        <w:t>六、评审方法</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（一）评审方法定义</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项目采用综合评分法进行评审。综合评估法是指在最大限度地满足比选文件实质性要求前提下，按照评审方案中规定的各项评分因素进行综合评审后，推荐方案得分前两名的竞选人为中选候选人，中选候选人在评审结束后按采购人通知提交项目报价，报价最低的中选候选人为第一中选候选人。</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竞选人方案总得分为技术、商务等评定因素分别按照相应分值计算分项得分后相加，其中商务部分50分，技术部分20分，满分为70分。</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（二）评审程序</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评审工作由采购人负责组织，具体评审事务由采购人依法组建的评审委员会负责。</w:t>
      </w:r>
    </w:p>
    <w:p>
      <w:pPr>
        <w:tabs>
          <w:tab w:val="left" w:pos="312"/>
        </w:tabs>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依据法律法规和比选文件的规定，对竞选文件中的资格证明、有效性、完整性进行审查，以确定是否对比选文件的实质性要求作出响应等进行审查，以确定竞选人是否具备竞选资格。检查资料表如下：</w:t>
      </w:r>
    </w:p>
    <w:p>
      <w:pPr>
        <w:spacing w:line="440" w:lineRule="exact"/>
        <w:ind w:firstLine="480" w:firstLineChars="200"/>
        <w:rPr>
          <w:rFonts w:ascii="宋体" w:hAnsi="宋体" w:eastAsia="宋体" w:cs="宋体"/>
          <w:sz w:val="24"/>
          <w:szCs w:val="24"/>
        </w:rPr>
      </w:pPr>
    </w:p>
    <w:tbl>
      <w:tblPr>
        <w:tblStyle w:val="7"/>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977"/>
        <w:gridCol w:w="2605"/>
        <w:gridCol w:w="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106" w:type="dxa"/>
            <w:vAlign w:val="center"/>
          </w:tcPr>
          <w:p>
            <w:pPr>
              <w:spacing w:line="400" w:lineRule="exact"/>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序号</w:t>
            </w:r>
          </w:p>
        </w:tc>
        <w:tc>
          <w:tcPr>
            <w:tcW w:w="4582" w:type="dxa"/>
            <w:gridSpan w:val="2"/>
            <w:vAlign w:val="center"/>
          </w:tcPr>
          <w:p>
            <w:pPr>
              <w:spacing w:line="400" w:lineRule="exact"/>
              <w:ind w:firstLine="480" w:firstLineChars="200"/>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检查因素</w:t>
            </w:r>
          </w:p>
        </w:tc>
        <w:tc>
          <w:tcPr>
            <w:tcW w:w="4278" w:type="dxa"/>
            <w:vAlign w:val="center"/>
          </w:tcPr>
          <w:p>
            <w:pPr>
              <w:spacing w:line="400" w:lineRule="exact"/>
              <w:ind w:firstLine="480" w:firstLineChars="200"/>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1106" w:type="dxa"/>
            <w:vMerge w:val="restart"/>
            <w:vAlign w:val="center"/>
          </w:tcPr>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w:t>
            </w:r>
          </w:p>
        </w:tc>
        <w:tc>
          <w:tcPr>
            <w:tcW w:w="1977" w:type="dxa"/>
            <w:vMerge w:val="restart"/>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竞选人应符合的基本资格条件</w:t>
            </w:r>
          </w:p>
        </w:tc>
        <w:tc>
          <w:tcPr>
            <w:tcW w:w="2605"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（1）具有独立承担民事责任的能力</w:t>
            </w:r>
          </w:p>
        </w:tc>
        <w:tc>
          <w:tcPr>
            <w:tcW w:w="4278"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竞选人法人营业执照复印件；</w:t>
            </w: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竞选人法定代表人身份证明和法定代表人授权代表委托书；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1106"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1977"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2605"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（2）具有良好的商业信誉和健全的财务会计制度</w:t>
            </w:r>
          </w:p>
        </w:tc>
        <w:tc>
          <w:tcPr>
            <w:tcW w:w="4278" w:type="dxa"/>
            <w:vMerge w:val="restart"/>
            <w:vAlign w:val="center"/>
          </w:tcPr>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竞选人自行提供诚信声明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1106"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1977"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2605"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（3）具有履行合同所必需的设备和专业技术能力</w:t>
            </w:r>
          </w:p>
        </w:tc>
        <w:tc>
          <w:tcPr>
            <w:tcW w:w="4278"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1106"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1977"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2605"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（4）有依法缴纳税收和社会保障金的良好记录</w:t>
            </w:r>
          </w:p>
        </w:tc>
        <w:tc>
          <w:tcPr>
            <w:tcW w:w="4278"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1106" w:type="dxa"/>
            <w:vAlign w:val="center"/>
          </w:tcPr>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w:t>
            </w:r>
          </w:p>
        </w:tc>
        <w:tc>
          <w:tcPr>
            <w:tcW w:w="4582" w:type="dxa"/>
            <w:gridSpan w:val="2"/>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 xml:space="preserve">特殊资格条件：营业执照范围包含三类汽车维修、二类汽车维修或一类汽车维修资质 </w:t>
            </w:r>
          </w:p>
        </w:tc>
        <w:tc>
          <w:tcPr>
            <w:tcW w:w="4278"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证明材料的复印件（加盖竞选人公章）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1106" w:type="dxa"/>
            <w:vMerge w:val="restart"/>
            <w:vAlign w:val="center"/>
          </w:tcPr>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w:t>
            </w:r>
          </w:p>
        </w:tc>
        <w:tc>
          <w:tcPr>
            <w:tcW w:w="1977" w:type="dxa"/>
            <w:vMerge w:val="restart"/>
            <w:vAlign w:val="center"/>
          </w:tcPr>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有效性审查</w:t>
            </w: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tc>
        <w:tc>
          <w:tcPr>
            <w:tcW w:w="2605"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竞选文件签署</w:t>
            </w:r>
          </w:p>
        </w:tc>
        <w:tc>
          <w:tcPr>
            <w:tcW w:w="4278"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竞选文件上法定代表人或其授权代表人的签字齐全。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1106"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1977"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2605"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法定代表人身份证明及授权委托书</w:t>
            </w:r>
          </w:p>
        </w:tc>
        <w:tc>
          <w:tcPr>
            <w:tcW w:w="4278"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法定代表人身份证明及授权委托书签章齐全。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1106"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1977" w:type="dxa"/>
            <w:vMerge w:val="continue"/>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2605"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竞选方案</w:t>
            </w:r>
          </w:p>
        </w:tc>
        <w:tc>
          <w:tcPr>
            <w:tcW w:w="4278"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每个合同包只能有一个方案竞选。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106" w:type="dxa"/>
            <w:vAlign w:val="center"/>
          </w:tcPr>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4</w:t>
            </w:r>
          </w:p>
        </w:tc>
        <w:tc>
          <w:tcPr>
            <w:tcW w:w="1977"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完整性审查</w:t>
            </w:r>
          </w:p>
        </w:tc>
        <w:tc>
          <w:tcPr>
            <w:tcW w:w="2605"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竞选文件份数</w:t>
            </w:r>
          </w:p>
        </w:tc>
        <w:tc>
          <w:tcPr>
            <w:tcW w:w="4278" w:type="dxa"/>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竞选文件正本、副本数量符合本方案要求。</w:t>
            </w:r>
          </w:p>
        </w:tc>
      </w:tr>
    </w:tbl>
    <w:p>
      <w:pPr>
        <w:spacing w:line="400" w:lineRule="exact"/>
        <w:ind w:firstLine="480" w:firstLineChars="200"/>
        <w:rPr>
          <w:rFonts w:ascii="方正仿宋_GBK" w:hAnsi="方正仿宋_GBK" w:eastAsia="方正仿宋_GBK" w:cs="方正仿宋_GBK"/>
          <w:color w:val="auto"/>
          <w:sz w:val="24"/>
          <w:szCs w:val="24"/>
        </w:rPr>
      </w:pPr>
      <w:bookmarkStart w:id="4" w:name="_Toc40773054"/>
      <w:bookmarkStart w:id="5" w:name="_Toc29878"/>
      <w:bookmarkStart w:id="6" w:name="_Toc23121"/>
      <w:bookmarkStart w:id="7" w:name="_Toc20446"/>
      <w:r>
        <w:rPr>
          <w:rFonts w:hint="eastAsia" w:ascii="方正仿宋_GBK" w:hAnsi="方正仿宋_GBK" w:eastAsia="方正仿宋_GBK" w:cs="方正仿宋_GBK"/>
          <w:color w:val="auto"/>
          <w:sz w:val="24"/>
          <w:szCs w:val="24"/>
        </w:rPr>
        <w:t>2.评审方案标准</w:t>
      </w:r>
      <w:bookmarkEnd w:id="4"/>
      <w:bookmarkEnd w:id="5"/>
      <w:bookmarkEnd w:id="6"/>
      <w:bookmarkEnd w:id="7"/>
      <w:r>
        <w:rPr>
          <w:rFonts w:hint="eastAsia" w:ascii="方正仿宋_GBK" w:hAnsi="方正仿宋_GBK" w:eastAsia="方正仿宋_GBK" w:cs="方正仿宋_GBK"/>
          <w:color w:val="auto"/>
          <w:sz w:val="24"/>
          <w:szCs w:val="24"/>
        </w:rPr>
        <w:t>。</w:t>
      </w:r>
    </w:p>
    <w:tbl>
      <w:tblPr>
        <w:tblStyle w:val="7"/>
        <w:tblW w:w="9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6"/>
        <w:gridCol w:w="968"/>
        <w:gridCol w:w="6404"/>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2294" w:type="dxa"/>
            <w:gridSpan w:val="2"/>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分值</w:t>
            </w:r>
          </w:p>
        </w:tc>
        <w:tc>
          <w:tcPr>
            <w:tcW w:w="6404" w:type="dxa"/>
            <w:shd w:val="clear" w:color="000000" w:fill="FFFFFF"/>
            <w:vAlign w:val="center"/>
          </w:tcPr>
          <w:p>
            <w:pPr>
              <w:spacing w:line="400" w:lineRule="exact"/>
              <w:ind w:firstLine="480" w:firstLineChars="200"/>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评分标准</w:t>
            </w:r>
          </w:p>
        </w:tc>
        <w:tc>
          <w:tcPr>
            <w:tcW w:w="1210" w:type="dxa"/>
            <w:shd w:val="clear" w:color="000000" w:fill="FFFFFF"/>
            <w:vAlign w:val="center"/>
          </w:tcPr>
          <w:p>
            <w:pPr>
              <w:spacing w:line="400" w:lineRule="exact"/>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326" w:type="dxa"/>
            <w:vMerge w:val="restart"/>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 xml:space="preserve">商务部分（50分）                        </w:t>
            </w: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tc>
        <w:tc>
          <w:tcPr>
            <w:tcW w:w="968" w:type="dxa"/>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rPr>
                <w:rFonts w:ascii="方正仿宋_GBK" w:hAnsi="方正仿宋_GBK" w:eastAsia="方正仿宋_GBK" w:cs="方正仿宋_GBK"/>
                <w:color w:val="auto"/>
                <w:sz w:val="24"/>
                <w:szCs w:val="24"/>
              </w:rPr>
            </w:pP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25分</w:t>
            </w:r>
          </w:p>
        </w:tc>
        <w:tc>
          <w:tcPr>
            <w:tcW w:w="6404"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质检人员配置（5分）：</w:t>
            </w: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未配置从业资格类别为质检的质检人员不得分，配置有1名得2分，2名得4分，3名及以上得5分。</w:t>
            </w: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二、维修人员配置（20分）：</w:t>
            </w: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（1）未配置从业资格类别为机修人员的不得分，配置1-2名得2分，3-4名得3分，5名及以上的得5分。</w:t>
            </w: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（2）未配置配从业资格类别为钣金人员的不得分，配置有1-2名得2分，3-4名得3分，5名及以上的得5分。</w:t>
            </w: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（3）未配置配从业资格类别为电器人员的不得分，配置1名得3分，2名得4分，2名及以上得5分。</w:t>
            </w: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（4）未配置配从业资格类别为涂漆人员的不得分，配置有1名得2分，2名的得4分，3名及以上的得5分。</w:t>
            </w: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注：须提供人员配置表（必须含人员姓名、从业类别、身份证号码）加盖投标人公章、配置人员身份证复印件加盖投标人公章、用工合同复印件加盖投标人公章。</w:t>
            </w:r>
          </w:p>
        </w:tc>
        <w:tc>
          <w:tcPr>
            <w:tcW w:w="1210" w:type="dxa"/>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26" w:type="dxa"/>
            <w:vMerge w:val="continue"/>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968"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15分</w:t>
            </w:r>
          </w:p>
        </w:tc>
        <w:tc>
          <w:tcPr>
            <w:tcW w:w="6404"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评委根据根据竞选人提供维修厂使用面积及维修设施及设备的配置和维修环境的相应证明材料、照片进行评价。维修厂面积排名第一的得7分，依次排名递减2分，扣完为止；维修设施设备排名第一的得5分，依次排名递减2分，扣完为止；维修环境排名第一得3分，依次排名递减1分，扣完为止。上述资料按项提供，未提供资料项不得分。</w:t>
            </w:r>
          </w:p>
          <w:p>
            <w:pPr>
              <w:spacing w:line="400" w:lineRule="exact"/>
              <w:rPr>
                <w:rFonts w:ascii="方正仿宋_GBK" w:hAnsi="方正仿宋_GBK" w:eastAsia="方正仿宋_GBK" w:cs="方正仿宋_GBK"/>
                <w:color w:val="auto"/>
                <w:sz w:val="24"/>
                <w:szCs w:val="24"/>
              </w:rPr>
            </w:pPr>
          </w:p>
        </w:tc>
        <w:tc>
          <w:tcPr>
            <w:tcW w:w="1210" w:type="dxa"/>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326" w:type="dxa"/>
            <w:vMerge w:val="continue"/>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968"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10分</w:t>
            </w:r>
          </w:p>
        </w:tc>
        <w:tc>
          <w:tcPr>
            <w:tcW w:w="6404"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技术负责岗位职责、业务受理人员岗位职责、质量检验员岗位职责、文件资料管理岗位职责、材料管理岗位职责、价格结算员岗位职责。评标委员会根据所提供的岗位职责描述优劣进行排名，排名第一的得10分，依次排名递减2分，扣完为止。上述资料未提供不得分。</w:t>
            </w:r>
          </w:p>
        </w:tc>
        <w:tc>
          <w:tcPr>
            <w:tcW w:w="1210" w:type="dxa"/>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ind w:firstLine="480" w:firstLineChars="200"/>
              <w:rPr>
                <w:rFonts w:ascii="方正仿宋_GBK" w:hAnsi="方正仿宋_GBK" w:eastAsia="方正仿宋_GBK" w:cs="方正仿宋_GBK"/>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jc w:val="center"/>
        </w:trPr>
        <w:tc>
          <w:tcPr>
            <w:tcW w:w="1326" w:type="dxa"/>
            <w:vMerge w:val="restart"/>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技术部分（20分）</w:t>
            </w:r>
          </w:p>
        </w:tc>
        <w:tc>
          <w:tcPr>
            <w:tcW w:w="968"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10分</w:t>
            </w:r>
          </w:p>
        </w:tc>
        <w:tc>
          <w:tcPr>
            <w:tcW w:w="6404"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竞选人制定维修保障应急措施、应急服务。评价优的得10-8分，良好的得7-5分，一般的得4-2分。</w:t>
            </w:r>
          </w:p>
        </w:tc>
        <w:tc>
          <w:tcPr>
            <w:tcW w:w="1210" w:type="dxa"/>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jc w:val="center"/>
        </w:trPr>
        <w:tc>
          <w:tcPr>
            <w:tcW w:w="1326" w:type="dxa"/>
            <w:vMerge w:val="continue"/>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tc>
        <w:tc>
          <w:tcPr>
            <w:tcW w:w="968"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10分</w:t>
            </w:r>
          </w:p>
        </w:tc>
        <w:tc>
          <w:tcPr>
            <w:tcW w:w="6404" w:type="dxa"/>
            <w:shd w:val="clear" w:color="000000" w:fill="FFFFFF"/>
            <w:vAlign w:val="center"/>
          </w:tcPr>
          <w:p>
            <w:pPr>
              <w:spacing w:line="400" w:lineRule="exact"/>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根据各竞选人维修服务方案中维修时间、维修质量的承诺，维修车辆从入厂到出厂的详细工作流程等工作方案优劣进行打分。评价优的得10-8分，良好的得7-5分，一般的得4-2分。</w:t>
            </w:r>
          </w:p>
        </w:tc>
        <w:tc>
          <w:tcPr>
            <w:tcW w:w="1210" w:type="dxa"/>
            <w:shd w:val="clear" w:color="000000" w:fill="FFFFFF"/>
            <w:vAlign w:val="center"/>
          </w:tcPr>
          <w:p>
            <w:pPr>
              <w:spacing w:line="400" w:lineRule="exact"/>
              <w:ind w:firstLine="480" w:firstLineChars="200"/>
              <w:rPr>
                <w:rFonts w:ascii="方正仿宋_GBK" w:hAnsi="方正仿宋_GBK" w:eastAsia="方正仿宋_GBK" w:cs="方正仿宋_GBK"/>
                <w:color w:val="auto"/>
                <w:sz w:val="24"/>
                <w:szCs w:val="24"/>
              </w:rPr>
            </w:pPr>
          </w:p>
        </w:tc>
      </w:tr>
    </w:tbl>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3.评审结果</w:t>
      </w:r>
    </w:p>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评审结束后，承办部门负责将比选文件、评审报告、评审表格、竞标资料等整理、存档，且完成评审结果报告审批后备案。</w:t>
      </w:r>
    </w:p>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三、无效竞选条款</w:t>
      </w:r>
    </w:p>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评审委员会评审时，竞选人或其竞选文件出现下列情况之一者，应为无效竞选：</w:t>
      </w:r>
    </w:p>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（一）竞选人不具备采购公告规定的资格要求的；</w:t>
      </w:r>
    </w:p>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（二）竞选人超出营业范围竞标的；</w:t>
      </w:r>
    </w:p>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（三）竞选文件出现多个竞标方案或竞标报价的；</w:t>
      </w:r>
    </w:p>
    <w:p>
      <w:pPr>
        <w:spacing w:line="4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（四）竞选人以联合体参与竞选的；</w:t>
      </w:r>
    </w:p>
    <w:p>
      <w:p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color w:val="auto"/>
          <w:sz w:val="24"/>
          <w:szCs w:val="24"/>
        </w:rPr>
        <w:t>（五）竞选文件含有违反国家法律、法规的内容，或附有比选人不能接受的</w:t>
      </w:r>
      <w:r>
        <w:rPr>
          <w:rFonts w:hint="eastAsia" w:ascii="方正仿宋_GBK" w:hAnsi="方正仿宋_GBK" w:eastAsia="方正仿宋_GBK" w:cs="方正仿宋_GBK"/>
          <w:sz w:val="24"/>
          <w:szCs w:val="24"/>
        </w:rPr>
        <w:t>条件的。</w:t>
      </w:r>
    </w:p>
    <w:p>
      <w:pPr>
        <w:spacing w:line="400" w:lineRule="exact"/>
        <w:ind w:firstLine="480" w:firstLineChars="200"/>
        <w:rPr>
          <w:rFonts w:eastAsia="宋体" w:cs="宋体"/>
          <w:b/>
          <w:sz w:val="30"/>
          <w:szCs w:val="30"/>
        </w:rPr>
      </w:pPr>
      <w:r>
        <w:rPr>
          <w:rFonts w:hint="eastAsia" w:ascii="方正仿宋_GBK" w:hAnsi="方正仿宋_GBK" w:eastAsia="方正仿宋_GBK" w:cs="方正仿宋_GBK"/>
          <w:sz w:val="24"/>
          <w:szCs w:val="24"/>
        </w:rPr>
        <w:t>（六）中选候选人不足两家的。</w:t>
      </w:r>
    </w:p>
    <w:p>
      <w:pPr>
        <w:pStyle w:val="6"/>
        <w:ind w:firstLine="301"/>
        <w:jc w:val="center"/>
        <w:rPr>
          <w:rFonts w:cs="宋体"/>
          <w:sz w:val="30"/>
          <w:szCs w:val="30"/>
        </w:rPr>
      </w:pPr>
      <w:r>
        <w:rPr>
          <w:rFonts w:hint="eastAsia" w:eastAsia="宋体" w:cs="宋体"/>
          <w:b/>
          <w:sz w:val="30"/>
          <w:szCs w:val="30"/>
        </w:rPr>
        <w:t>竞选人须知</w:t>
      </w:r>
    </w:p>
    <w:p>
      <w:pPr>
        <w:pStyle w:val="6"/>
        <w:spacing w:line="400" w:lineRule="exact"/>
        <w:ind w:left="640" w:firstLine="0" w:firstLineChars="0"/>
        <w:rPr>
          <w:rFonts w:ascii="方正仿宋_GBK" w:hAnsi="方正仿宋_GBK" w:cs="方正仿宋_GBK"/>
          <w:b/>
          <w:bCs/>
          <w:sz w:val="24"/>
          <w:szCs w:val="24"/>
        </w:rPr>
      </w:pPr>
      <w:r>
        <w:rPr>
          <w:rFonts w:hint="eastAsia" w:ascii="方正仿宋_GBK" w:hAnsi="方正仿宋_GBK" w:cs="方正仿宋_GBK"/>
          <w:b/>
          <w:bCs/>
          <w:sz w:val="24"/>
          <w:szCs w:val="24"/>
        </w:rPr>
        <w:t>一、响应文件要求</w:t>
      </w:r>
    </w:p>
    <w:p>
      <w:pPr>
        <w:widowControl/>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（一）竞选人应当按照方案商务要求、方案技术要求等编制响应文件，响应文件原则上采用软面订本，同时应编制完整的页码、目录。</w:t>
      </w:r>
    </w:p>
    <w:p>
      <w:pPr>
        <w:widowControl/>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响应方案一式三份，其中正本一份，副本二份。副本可为正本的复印件，必须与正本一致，如出现不一致情况以正本为准。响应方案的的正本、副本均应用文件袋密封。文件袋上注明项目名称、竞选人名称及 “不准提前启封”字样。文件袋的封口须加盖竞选人公章或授权代表签字。</w:t>
      </w:r>
    </w:p>
    <w:p>
      <w:pPr>
        <w:widowControl/>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（三）响应文件密封在一个文件袋内，如响应文件资料较多可分袋密封。响应文件密封后在密封处加盖竞选人公章。</w:t>
      </w:r>
    </w:p>
    <w:p>
      <w:pPr>
        <w:widowControl/>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（四）响应文件中须提供竞选人营业执照、法定代表人身份证明书及法定代表人授权委托书（格式见附表2）、诚信声明（格式见附表3）、资格条件要求提供的其他资料（加盖竞选人鲜章）。</w:t>
      </w:r>
    </w:p>
    <w:p>
      <w:pPr>
        <w:widowControl/>
        <w:spacing w:line="400" w:lineRule="exact"/>
        <w:ind w:firstLine="482" w:firstLineChars="200"/>
        <w:jc w:val="left"/>
        <w:rPr>
          <w:rFonts w:ascii="方正仿宋_GBK" w:hAnsi="方正仿宋_GBK" w:eastAsia="方正仿宋_GBK" w:cs="方正仿宋_GBK"/>
          <w:b/>
          <w:bCs/>
          <w:sz w:val="24"/>
          <w:szCs w:val="24"/>
          <w:highlight w:val="yellow"/>
        </w:rPr>
      </w:pPr>
      <w:r>
        <w:rPr>
          <w:rFonts w:hint="eastAsia" w:ascii="方正仿宋_GBK" w:hAnsi="方正仿宋_GBK" w:eastAsia="方正仿宋_GBK" w:cs="方正仿宋_GBK"/>
          <w:b/>
          <w:bCs/>
          <w:sz w:val="24"/>
          <w:szCs w:val="24"/>
        </w:rPr>
        <w:t>二、</w:t>
      </w:r>
      <w:bookmarkStart w:id="8" w:name="_Toc15791"/>
      <w:bookmarkStart w:id="9" w:name="_Toc21073"/>
      <w:bookmarkStart w:id="10" w:name="_Toc19911"/>
      <w:r>
        <w:rPr>
          <w:rFonts w:hint="eastAsia" w:ascii="方正仿宋_GBK" w:hAnsi="方正仿宋_GBK" w:eastAsia="方正仿宋_GBK" w:cs="方正仿宋_GBK"/>
          <w:b/>
          <w:bCs/>
          <w:sz w:val="24"/>
          <w:szCs w:val="24"/>
        </w:rPr>
        <w:t>采购人对竞选人提交的响应方案进行综合评审，择优选择2家及以上的竞选人，并在评审当天通知竞选人提交书面报价，其中报价最低的竞选人确定为成交人，所报价格即为合同价格。</w:t>
      </w:r>
      <w:bookmarkEnd w:id="8"/>
      <w:bookmarkEnd w:id="9"/>
      <w:bookmarkEnd w:id="10"/>
    </w:p>
    <w:p>
      <w:pPr>
        <w:widowControl/>
        <w:spacing w:line="400" w:lineRule="exact"/>
        <w:ind w:firstLine="482" w:firstLineChars="200"/>
        <w:jc w:val="left"/>
        <w:rPr>
          <w:rFonts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三、报价文件要求</w:t>
      </w:r>
    </w:p>
    <w:p>
      <w:pPr>
        <w:widowControl/>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（一）竞选人需提供书面的签字盖章的报价文件，竞选人的报价为一次性报价，不得提交选择性报价。</w:t>
      </w:r>
    </w:p>
    <w:p>
      <w:pPr>
        <w:widowControl/>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（二）本项目为单项采购，竞选人报价的总价和各分部分项综合单价均不得超过最高限价，超过最高限价的否决其报价。</w:t>
      </w:r>
    </w:p>
    <w:p>
      <w:pPr>
        <w:pStyle w:val="5"/>
        <w:spacing w:line="400" w:lineRule="exact"/>
        <w:ind w:firstLine="482" w:firstLineChars="200"/>
        <w:rPr>
          <w:rFonts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四、报价格式</w:t>
      </w:r>
    </w:p>
    <w:p>
      <w:pPr>
        <w:snapToGrid w:val="0"/>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竞选人报价格式见下表：</w:t>
      </w:r>
    </w:p>
    <w:p>
      <w:pPr>
        <w:snapToGrid w:val="0"/>
        <w:spacing w:line="400" w:lineRule="exact"/>
        <w:ind w:firstLine="482" w:firstLineChars="200"/>
        <w:jc w:val="left"/>
        <w:rPr>
          <w:rFonts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（一）报价表</w:t>
      </w:r>
    </w:p>
    <w:p>
      <w:pPr>
        <w:spacing w:line="500" w:lineRule="exact"/>
        <w:ind w:firstLine="240" w:firstLineChars="1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采购项目名称：</w:t>
      </w:r>
    </w:p>
    <w:tbl>
      <w:tblPr>
        <w:tblStyle w:val="7"/>
        <w:tblW w:w="8316" w:type="dxa"/>
        <w:tblInd w:w="0" w:type="dxa"/>
        <w:tblLayout w:type="fixed"/>
        <w:tblCellMar>
          <w:top w:w="0" w:type="dxa"/>
          <w:left w:w="0" w:type="dxa"/>
          <w:bottom w:w="0" w:type="dxa"/>
          <w:right w:w="0" w:type="dxa"/>
        </w:tblCellMar>
      </w:tblPr>
      <w:tblGrid>
        <w:gridCol w:w="728"/>
        <w:gridCol w:w="1603"/>
        <w:gridCol w:w="3615"/>
        <w:gridCol w:w="1215"/>
        <w:gridCol w:w="1155"/>
      </w:tblGrid>
      <w:tr>
        <w:tblPrEx>
          <w:tblCellMar>
            <w:top w:w="0" w:type="dxa"/>
            <w:left w:w="0" w:type="dxa"/>
            <w:bottom w:w="0" w:type="dxa"/>
            <w:right w:w="0" w:type="dxa"/>
          </w:tblCellMar>
        </w:tblPrEx>
        <w:trPr>
          <w:trHeight w:val="390" w:hRule="atLeast"/>
        </w:trPr>
        <w:tc>
          <w:tcPr>
            <w:tcW w:w="8316" w:type="dxa"/>
            <w:gridSpan w:val="5"/>
            <w:tcBorders>
              <w:top w:val="nil"/>
              <w:left w:val="nil"/>
              <w:bottom w:val="single" w:color="auto" w:sz="4"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b/>
                <w:color w:val="000000"/>
                <w:sz w:val="28"/>
                <w:szCs w:val="28"/>
              </w:rPr>
            </w:pPr>
            <w:r>
              <w:rPr>
                <w:rFonts w:hint="eastAsia" w:ascii="方正仿宋_GBK" w:hAnsi="方正仿宋_GBK" w:eastAsia="方正仿宋_GBK" w:cs="方正仿宋_GBK"/>
                <w:b/>
                <w:color w:val="000000"/>
                <w:kern w:val="0"/>
                <w:sz w:val="28"/>
                <w:szCs w:val="28"/>
              </w:rPr>
              <w:t>车辆维保询价表</w:t>
            </w:r>
          </w:p>
        </w:tc>
      </w:tr>
      <w:tr>
        <w:tblPrEx>
          <w:tblCellMar>
            <w:top w:w="0" w:type="dxa"/>
            <w:left w:w="0" w:type="dxa"/>
            <w:bottom w:w="0" w:type="dxa"/>
            <w:right w:w="0" w:type="dxa"/>
          </w:tblCellMar>
        </w:tblPrEx>
        <w:trPr>
          <w:trHeight w:val="600" w:hRule="atLeast"/>
        </w:trPr>
        <w:tc>
          <w:tcPr>
            <w:tcW w:w="8316" w:type="dxa"/>
            <w:gridSpan w:val="5"/>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黑体_GBK" w:hAnsi="方正黑体_GBK" w:eastAsia="方正黑体_GBK" w:cs="方正黑体_GBK"/>
                <w:color w:val="000000"/>
                <w:kern w:val="0"/>
                <w:szCs w:val="21"/>
              </w:rPr>
              <w:t>25T豪沃车型材料工时报价表           单位：元</w:t>
            </w:r>
          </w:p>
        </w:tc>
      </w:tr>
      <w:tr>
        <w:tblPrEx>
          <w:tblCellMar>
            <w:top w:w="0" w:type="dxa"/>
            <w:left w:w="0" w:type="dxa"/>
            <w:bottom w:w="0" w:type="dxa"/>
            <w:right w:w="0" w:type="dxa"/>
          </w:tblCellMar>
        </w:tblPrEx>
        <w:trPr>
          <w:trHeight w:val="315" w:hRule="atLeast"/>
        </w:trPr>
        <w:tc>
          <w:tcPr>
            <w:tcW w:w="72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序号</w:t>
            </w:r>
          </w:p>
        </w:tc>
        <w:tc>
          <w:tcPr>
            <w:tcW w:w="16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区分</w:t>
            </w:r>
          </w:p>
        </w:tc>
        <w:tc>
          <w:tcPr>
            <w:tcW w:w="361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件名</w:t>
            </w:r>
          </w:p>
        </w:tc>
        <w:tc>
          <w:tcPr>
            <w:tcW w:w="121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黑体_GBK" w:hAnsi="方正黑体_GBK" w:eastAsia="方正黑体_GBK" w:cs="方正黑体_GBK"/>
                <w:color w:val="000000"/>
                <w:kern w:val="0"/>
                <w:szCs w:val="21"/>
              </w:rPr>
              <w:t>材料</w:t>
            </w:r>
          </w:p>
        </w:tc>
        <w:tc>
          <w:tcPr>
            <w:tcW w:w="115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黑体_GBK" w:hAnsi="方正黑体_GBK" w:eastAsia="方正黑体_GBK" w:cs="方正黑体_GBK"/>
                <w:color w:val="000000"/>
                <w:kern w:val="0"/>
                <w:szCs w:val="21"/>
              </w:rPr>
              <w:t>工时</w:t>
            </w: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离合器总泵</w:t>
            </w:r>
          </w:p>
        </w:tc>
        <w:tc>
          <w:tcPr>
            <w:tcW w:w="121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离合器分泵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离合器压盘</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飞轮总成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离合器分离轴承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离合拨叉</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离合器拨叉轴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离合器回位弹簧</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离合器踏板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   3/4档同步器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1/2档齿座</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中间轴六档齿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组合齿轮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二轴总成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主轴三档齿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一档齿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轴承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一轴油封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二轴油封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变速箱垫子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变速箱后油封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选档拉线总成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排挡拉线总成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刹车总泵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前刹车分泵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后刹车分泵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前刹车片/轮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后刹车片/轮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铜铆钉</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前刹车轮毂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后刹车轮毂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干燥器总成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刹车固定盘</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前刹车调整臂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后刹车调整臂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轮胎螺栓</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更换刹车管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碟刹总成/轮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碟刹卡钳/轮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刹车盘/轮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碟刹刹车片/轮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刹车蹄/轮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球头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转向助力泵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转向泵油管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转向横拉杆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转向直拉杆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转向直拉杆臂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转向横拉杆臂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转向节总成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前桥修理包</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主销修理包</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传动过桥总成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传动轴万向节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传动轴凸缘</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传动轴伸缩叉</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过桥轴承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后差速器总成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平衡轴总成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后桥壳总成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推力杆总成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差速器垫子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差速器十字轴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差速器半轴齿轮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差速器行星齿轮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半轴螺丝</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后轮内外密封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后轮O型密封圈</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半轴齿轮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前钢板第一片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前钢板第二片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后钢板第一片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后钢板第二片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钢板中心螺丝</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钢板骑马卡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托臂总成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平衡轴总成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推力杆总成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发电机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起动机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组合仪表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组合开关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大灯总成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尾灯总成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大灯灯泡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小灯灯泡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边灯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雾灯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腰灯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示宽灯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暖风机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电瓶</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空调压缩机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冷凝板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倒车视频</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倒车摄像头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电喇叭</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气喇叭</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雨刮电机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雨刮连动臂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里程表传感器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压力传感器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水温传感器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加空调氟</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手控阀</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继动阀</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四回路保护阀</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前挡风玻璃</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车门锁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后视镜总成（大方镜）</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护栏喷漆/车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整车喷漆/车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气门室盖垫</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凸轮轴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发动机皮带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喷油器/只</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喷油嘴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节温器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汽缸垫</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进、排气管垫子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增压器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张紧轮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发动机上水管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水泵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机油泵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发电机皮带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风扇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发动机水箱</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油底壳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机油滤芯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柴油滤芯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空气滤芯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轴承油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方向机油（2L）</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刹车油（2L）</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油水分离器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更换机油、滤芯（次）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更换防冻液</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尿素喷嘴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更换尾门胶条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尿素滤芯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刹车保养轮/轮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清洗发动机水箱</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拆装仪表台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安装全车边灯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解码（不用换配件）</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检修启动线路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月检/台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全车打黄油/台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高压液压油管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接近传感器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更换提升机油缸油封/根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更换后门锁止油缸油封/根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更换尾门油缸油封/根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165</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更换顶盖油缸油封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3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166</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齿轮油泵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167</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取力器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168</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169</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内胎</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170</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衬带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171</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胎疤</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172</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流动补胎（次）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173</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城区施救/车/次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15"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174</w:t>
            </w:r>
          </w:p>
        </w:tc>
        <w:tc>
          <w:tcPr>
            <w:tcW w:w="1603"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外出施救/车/次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bl>
    <w:p>
      <w:pPr>
        <w:pStyle w:val="6"/>
        <w:ind w:firstLine="0" w:firstLineChars="0"/>
        <w:rPr>
          <w:rFonts w:eastAsia="宋体"/>
        </w:rPr>
      </w:pPr>
    </w:p>
    <w:tbl>
      <w:tblPr>
        <w:tblStyle w:val="7"/>
        <w:tblW w:w="8331" w:type="dxa"/>
        <w:tblInd w:w="0" w:type="dxa"/>
        <w:tblLayout w:type="fixed"/>
        <w:tblCellMar>
          <w:top w:w="0" w:type="dxa"/>
          <w:left w:w="0" w:type="dxa"/>
          <w:bottom w:w="0" w:type="dxa"/>
          <w:right w:w="0" w:type="dxa"/>
        </w:tblCellMar>
      </w:tblPr>
      <w:tblGrid>
        <w:gridCol w:w="728"/>
        <w:gridCol w:w="1618"/>
        <w:gridCol w:w="3600"/>
        <w:gridCol w:w="1215"/>
        <w:gridCol w:w="1170"/>
      </w:tblGrid>
      <w:tr>
        <w:tblPrEx>
          <w:tblCellMar>
            <w:top w:w="0" w:type="dxa"/>
            <w:left w:w="0" w:type="dxa"/>
            <w:bottom w:w="0" w:type="dxa"/>
            <w:right w:w="0" w:type="dxa"/>
          </w:tblCellMar>
        </w:tblPrEx>
        <w:trPr>
          <w:trHeight w:val="315" w:hRule="atLeast"/>
        </w:trPr>
        <w:tc>
          <w:tcPr>
            <w:tcW w:w="8331" w:type="dxa"/>
            <w:gridSpan w:val="5"/>
            <w:tcBorders>
              <w:top w:val="nil"/>
              <w:left w:val="nil"/>
              <w:bottom w:val="single" w:color="auto" w:sz="4" w:space="0"/>
              <w:right w:val="nil"/>
            </w:tcBorders>
            <w:shd w:val="clear" w:color="auto" w:fill="auto"/>
            <w:noWrap/>
            <w:tcMar>
              <w:top w:w="15" w:type="dxa"/>
              <w:left w:w="15" w:type="dxa"/>
              <w:right w:w="15" w:type="dxa"/>
            </w:tcMar>
            <w:vAlign w:val="center"/>
          </w:tcPr>
          <w:p>
            <w:pPr>
              <w:widowControl/>
              <w:jc w:val="center"/>
              <w:textAlignment w:val="center"/>
              <w:rPr>
                <w:rFonts w:ascii="方正小标宋_GBK" w:hAnsi="方正小标宋_GBK" w:eastAsia="方正小标宋_GBK" w:cs="方正小标宋_GBK"/>
                <w:color w:val="000000"/>
                <w:szCs w:val="21"/>
              </w:rPr>
            </w:pPr>
            <w:r>
              <w:rPr>
                <w:rFonts w:hint="eastAsia" w:ascii="方正小标宋_GBK" w:hAnsi="方正小标宋_GBK" w:eastAsia="方正小标宋_GBK" w:cs="方正小标宋_GBK"/>
                <w:color w:val="000000"/>
                <w:kern w:val="0"/>
                <w:szCs w:val="21"/>
              </w:rPr>
              <w:t>车辆维保询价表</w:t>
            </w:r>
          </w:p>
        </w:tc>
      </w:tr>
      <w:tr>
        <w:tblPrEx>
          <w:tblCellMar>
            <w:top w:w="0" w:type="dxa"/>
            <w:left w:w="0" w:type="dxa"/>
            <w:bottom w:w="0" w:type="dxa"/>
            <w:right w:w="0" w:type="dxa"/>
          </w:tblCellMar>
        </w:tblPrEx>
        <w:trPr>
          <w:trHeight w:val="315" w:hRule="atLeast"/>
        </w:trPr>
        <w:tc>
          <w:tcPr>
            <w:tcW w:w="8331" w:type="dxa"/>
            <w:gridSpan w:val="5"/>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五十铃车型材料工时报价表           单位：元</w:t>
            </w:r>
          </w:p>
        </w:tc>
      </w:tr>
      <w:tr>
        <w:tblPrEx>
          <w:tblCellMar>
            <w:top w:w="0" w:type="dxa"/>
            <w:left w:w="0" w:type="dxa"/>
            <w:bottom w:w="0" w:type="dxa"/>
            <w:right w:w="0" w:type="dxa"/>
          </w:tblCellMar>
        </w:tblPrEx>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序号</w:t>
            </w:r>
          </w:p>
        </w:tc>
        <w:tc>
          <w:tcPr>
            <w:tcW w:w="16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区分</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件名</w:t>
            </w:r>
          </w:p>
        </w:tc>
        <w:tc>
          <w:tcPr>
            <w:tcW w:w="12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材料</w:t>
            </w:r>
          </w:p>
        </w:tc>
        <w:tc>
          <w:tcPr>
            <w:tcW w:w="11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工时</w:t>
            </w:r>
          </w:p>
        </w:tc>
      </w:tr>
      <w:tr>
        <w:tblPrEx>
          <w:tblCellMar>
            <w:top w:w="0" w:type="dxa"/>
            <w:left w:w="0" w:type="dxa"/>
            <w:bottom w:w="0" w:type="dxa"/>
            <w:right w:w="0" w:type="dxa"/>
          </w:tblCellMar>
        </w:tblPrEx>
        <w:trPr>
          <w:trHeight w:val="300" w:hRule="atLeast"/>
        </w:trPr>
        <w:tc>
          <w:tcPr>
            <w:tcW w:w="728" w:type="dxa"/>
            <w:tcBorders>
              <w:top w:val="single" w:color="auto" w:sz="4"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w:t>
            </w:r>
          </w:p>
        </w:tc>
        <w:tc>
          <w:tcPr>
            <w:tcW w:w="1618" w:type="dxa"/>
            <w:tcBorders>
              <w:top w:val="single" w:color="auto" w:sz="4" w:space="0"/>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single" w:color="auto" w:sz="4" w:space="0"/>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离合器总泵</w:t>
            </w:r>
          </w:p>
        </w:tc>
        <w:tc>
          <w:tcPr>
            <w:tcW w:w="1215"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离合器分泵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离合器压盘</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飞轮总成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离合器分离轴承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离合拨叉</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离合器拨叉轴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离合器回位弹簧</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离合器踏板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   3/4档同步器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1/2档齿座</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中间轴六档齿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组合齿轮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二轴总成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主轴三档齿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一档齿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轴承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一轴油封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二轴油封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变速箱垫子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变速箱后油封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选档拉线总成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排挡拉线总成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刹车总泵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前刹车分泵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后刹车分泵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前刹车片/轮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后刹车片/轮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铜铆钉</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前刹车轮毂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后刹车轮毂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干燥器总成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刹车固定盘</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前刹车调整臂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后刹车调整臂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轮胎螺栓</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更换刹车管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碟刹总成/轮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碟刹卡钳/轮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刹车盘/轮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碟刹刹车片/轮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刹车蹄/轮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球头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转向助力泵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转向泵油管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转向横拉杆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转向直拉杆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转向直拉杆臂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转向横拉杆臂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转向节总成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前桥修理包</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主销修理包</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传动过桥总成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传动轴万向节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传动轴凸缘</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传动轴伸缩叉</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过桥轴承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后差速器总成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平衡轴总成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后桥壳总成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推力杆总成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差速器垫子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差速器十字轴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差速器半轴齿轮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差速器行星齿轮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半轴螺丝</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后轮内外密封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后轮O型密封圈</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半轴齿轮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前钢板第一片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前钢板第二片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后钢板第一片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后钢板第二片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钢板中心螺丝</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钢板骑马卡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托臂总成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平衡轴总成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推力杆总成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发电机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起动机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组合仪表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组合开关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大灯总成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尾灯总成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大灯灯泡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小灯灯泡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边灯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雾灯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腰灯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示宽灯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暖风机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电瓶</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空调压缩机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冷凝板</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倒车视频</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倒车摄像头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电喇叭</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气喇叭</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雨刮电机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雨刮连动臂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里程表传感器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压力传感器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水温传感器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加空调氟</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手控阀</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继动阀</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四回路保护阀</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前挡风玻璃</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车门锁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后视镜总成（大方镜）</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护栏喷漆/车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整车喷漆/车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气门室盖垫</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凸轮轴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发动机皮带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喷油器/只</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喷油嘴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节温器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汽缸垫</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进、排气管垫子</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增压器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张紧轮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发动机上水管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水泵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机油泵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发电机皮带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风扇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发动机水箱</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油底壳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机油滤芯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柴油滤芯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空气滤芯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轴承油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方向机油（2L）</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刹车油（2L）</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油水分离器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更换机油、滤芯（次）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更换防冻液</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尿素喷嘴</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更换尾门胶条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尿素滤芯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刹车保养轮/轮</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清洗发动机水箱</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拆装仪表台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安装全车边灯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解码（不用换配件）</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检修启动线路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月检/台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全车打黄油/台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高压液压油管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接近传感器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更换提升机油缸油封/根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更换后门锁止油缸油封/根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更换尾门油缸油封/根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165</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更换顶盖油缸油封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166</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齿轮油泵</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167</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取力器</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168</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169</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内胎</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170</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衬带</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171</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胎疤</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172</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流动补胎（次）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173</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城区施救/车/次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28"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174</w:t>
            </w:r>
          </w:p>
        </w:tc>
        <w:tc>
          <w:tcPr>
            <w:tcW w:w="161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00"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外出施救/车/次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bl>
    <w:p>
      <w:pPr>
        <w:pStyle w:val="6"/>
        <w:ind w:firstLine="0" w:firstLineChars="0"/>
        <w:rPr>
          <w:rFonts w:eastAsia="宋体"/>
        </w:rPr>
      </w:pPr>
    </w:p>
    <w:tbl>
      <w:tblPr>
        <w:tblStyle w:val="7"/>
        <w:tblW w:w="8331" w:type="dxa"/>
        <w:tblInd w:w="0" w:type="dxa"/>
        <w:tblLayout w:type="fixed"/>
        <w:tblCellMar>
          <w:top w:w="0" w:type="dxa"/>
          <w:left w:w="0" w:type="dxa"/>
          <w:bottom w:w="0" w:type="dxa"/>
          <w:right w:w="0" w:type="dxa"/>
        </w:tblCellMar>
      </w:tblPr>
      <w:tblGrid>
        <w:gridCol w:w="741"/>
        <w:gridCol w:w="1590"/>
        <w:gridCol w:w="3615"/>
        <w:gridCol w:w="1200"/>
        <w:gridCol w:w="1185"/>
      </w:tblGrid>
      <w:tr>
        <w:tblPrEx>
          <w:tblCellMar>
            <w:top w:w="0" w:type="dxa"/>
            <w:left w:w="0" w:type="dxa"/>
            <w:bottom w:w="0" w:type="dxa"/>
            <w:right w:w="0" w:type="dxa"/>
          </w:tblCellMar>
        </w:tblPrEx>
        <w:trPr>
          <w:trHeight w:val="330" w:hRule="atLeast"/>
        </w:trPr>
        <w:tc>
          <w:tcPr>
            <w:tcW w:w="8331" w:type="dxa"/>
            <w:gridSpan w:val="5"/>
            <w:tcBorders>
              <w:top w:val="nil"/>
              <w:left w:val="nil"/>
              <w:bottom w:val="single" w:color="auto" w:sz="4" w:space="0"/>
              <w:right w:val="nil"/>
            </w:tcBorders>
            <w:shd w:val="clear" w:color="auto" w:fill="auto"/>
            <w:noWrap/>
            <w:tcMar>
              <w:top w:w="15" w:type="dxa"/>
              <w:left w:w="15" w:type="dxa"/>
              <w:right w:w="15" w:type="dxa"/>
            </w:tcMar>
            <w:vAlign w:val="center"/>
          </w:tcPr>
          <w:p>
            <w:pPr>
              <w:widowControl/>
              <w:jc w:val="center"/>
              <w:textAlignment w:val="center"/>
              <w:rPr>
                <w:rFonts w:ascii="方正小标宋_GBK" w:hAnsi="方正小标宋_GBK" w:eastAsia="方正小标宋_GBK" w:cs="方正小标宋_GBK"/>
                <w:color w:val="000000"/>
                <w:szCs w:val="21"/>
              </w:rPr>
            </w:pPr>
            <w:r>
              <w:rPr>
                <w:rFonts w:hint="eastAsia" w:ascii="方正小标宋_GBK" w:hAnsi="方正小标宋_GBK" w:eastAsia="方正小标宋_GBK" w:cs="方正小标宋_GBK"/>
                <w:color w:val="000000"/>
                <w:kern w:val="0"/>
                <w:szCs w:val="21"/>
              </w:rPr>
              <w:t>车辆维保询价表</w:t>
            </w:r>
          </w:p>
        </w:tc>
      </w:tr>
      <w:tr>
        <w:tblPrEx>
          <w:tblCellMar>
            <w:top w:w="0" w:type="dxa"/>
            <w:left w:w="0" w:type="dxa"/>
            <w:bottom w:w="0" w:type="dxa"/>
            <w:right w:w="0" w:type="dxa"/>
          </w:tblCellMar>
        </w:tblPrEx>
        <w:trPr>
          <w:trHeight w:val="330" w:hRule="atLeast"/>
        </w:trPr>
        <w:tc>
          <w:tcPr>
            <w:tcW w:w="8331" w:type="dxa"/>
            <w:gridSpan w:val="5"/>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天锦吸污车车型材料工时报价表           单位：元</w:t>
            </w:r>
          </w:p>
        </w:tc>
      </w:tr>
      <w:tr>
        <w:tblPrEx>
          <w:tblCellMar>
            <w:top w:w="0" w:type="dxa"/>
            <w:left w:w="0" w:type="dxa"/>
            <w:bottom w:w="0" w:type="dxa"/>
            <w:right w:w="0" w:type="dxa"/>
          </w:tblCellMar>
        </w:tblPrEx>
        <w:trPr>
          <w:trHeight w:val="300" w:hRule="atLeast"/>
        </w:trPr>
        <w:tc>
          <w:tcPr>
            <w:tcW w:w="7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序号</w:t>
            </w:r>
          </w:p>
        </w:tc>
        <w:tc>
          <w:tcPr>
            <w:tcW w:w="159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区分</w:t>
            </w:r>
          </w:p>
        </w:tc>
        <w:tc>
          <w:tcPr>
            <w:tcW w:w="36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件名</w:t>
            </w:r>
          </w:p>
        </w:tc>
        <w:tc>
          <w:tcPr>
            <w:tcW w:w="12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材料</w:t>
            </w:r>
          </w:p>
        </w:tc>
        <w:tc>
          <w:tcPr>
            <w:tcW w:w="118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工时</w:t>
            </w:r>
          </w:p>
        </w:tc>
      </w:tr>
      <w:tr>
        <w:tblPrEx>
          <w:tblCellMar>
            <w:top w:w="0" w:type="dxa"/>
            <w:left w:w="0" w:type="dxa"/>
            <w:bottom w:w="0" w:type="dxa"/>
            <w:right w:w="0" w:type="dxa"/>
          </w:tblCellMar>
        </w:tblPrEx>
        <w:trPr>
          <w:trHeight w:val="300" w:hRule="atLeast"/>
        </w:trPr>
        <w:tc>
          <w:tcPr>
            <w:tcW w:w="741" w:type="dxa"/>
            <w:tcBorders>
              <w:top w:val="single" w:color="auto" w:sz="4"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w:t>
            </w:r>
          </w:p>
        </w:tc>
        <w:tc>
          <w:tcPr>
            <w:tcW w:w="1590" w:type="dxa"/>
            <w:tcBorders>
              <w:top w:val="single" w:color="auto" w:sz="4" w:space="0"/>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single" w:color="auto" w:sz="4" w:space="0"/>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离合器总泵</w:t>
            </w:r>
          </w:p>
        </w:tc>
        <w:tc>
          <w:tcPr>
            <w:tcW w:w="120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离合器分泵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离合器压盘</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飞轮总成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离合器分离轴承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离合拨叉</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离合器拨叉轴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离合器回位弹簧</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离合器踏板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   3/4档同步器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1/2档齿座</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中间轴六档齿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组合齿轮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二轴总成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主轴三档齿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一档齿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轴承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一轴油封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二轴油封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变速箱垫子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变速箱壳</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变速箱后油封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选档拉线总成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排挡拉线总成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刹车总泵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前刹车分泵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后刹车分泵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前刹车片/轮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后刹车片/轮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铜铆钉</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前刹车轮毂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后刹车轮毂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干燥器总成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刹车固定盘</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前刹车调整臂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后刹车调整臂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轮胎螺栓</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更换刹车管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碟刹总成/轮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碟刹卡钳/轮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刹车盘/轮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碟刹刹车片/轮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刹车蹄/轮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球头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转向助力泵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转向泵油管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转向横拉杆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转向直拉杆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转向直拉杆臂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转向横拉杆臂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转向节总成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前桥修理包</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主销修理包</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传动过桥总成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传动轴万向节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传动轴凸缘</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传动轴伸缩叉</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过桥轴承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后差速器总成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平衡轴总成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后桥壳总成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推力杆总成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差速器垫子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差速器十字轴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差速器半轴齿轮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差速器行星齿轮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半轴螺丝</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后轮内外密封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后轮O型密封圈</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半轴齿轮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前钢板第一片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前钢板第二片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后钢板第一片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后钢板第二片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钢板中心螺丝</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钢板骑马卡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托臂总成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平衡轴总成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推力杆总成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发电机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起动机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组合仪表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组合开关</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大灯总成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尾灯总成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大灯灯泡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小灯灯泡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边灯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雾灯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腰灯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示宽灯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暖风机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电瓶</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空调压缩机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冷凝板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倒车视频</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倒车摄像头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电喇叭</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气喇叭</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雨刮电机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雨刮连动臂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里程表传感器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压力传感器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水温传感器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加空调氟</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手控阀</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继动阀</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四回路保护阀</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前挡风玻璃</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车门锁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后视镜总成（大方镜）</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护栏喷漆/车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整车喷漆/车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气门室盖垫</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凸轮轴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发动机皮带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喷油器/只</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喷油嘴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节温器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汽缸垫</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进、排气管垫子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增压器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张紧轮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发动机上水管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水泵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机油泵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发电机皮带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风扇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发动机水箱</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油底壳</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机油滤芯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柴油滤芯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空气滤芯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轴承油</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方向机油（2L）</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刹车油（2L）</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油水分离器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更换机油、滤芯（次）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更换防冻液</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尿素喷嘴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更换尾门胶条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尿素滤芯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刹车保养轮/轮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清洗发动机水箱</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拆装仪表台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安装全车边灯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解码（不用换配件）</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检修启动线路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月检/台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全车打黄油/台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高压液压油管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接近传感器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更换提升机油缸油封/根</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更换后门锁止油缸油封/根</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更换尾门油缸油封/根</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更换顶盖油缸油封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齿轮油泵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液压常用件</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取力器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补胎/个</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内胎</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衬带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胎疤</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流动补胎（次）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城区施救/车/次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外出施救/车/次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bl>
    <w:p>
      <w:pPr>
        <w:pStyle w:val="6"/>
        <w:ind w:firstLine="0" w:firstLineChars="0"/>
        <w:rPr>
          <w:rFonts w:eastAsia="宋体"/>
        </w:rPr>
      </w:pPr>
    </w:p>
    <w:p>
      <w:pPr>
        <w:pStyle w:val="6"/>
        <w:ind w:firstLine="0" w:firstLineChars="0"/>
        <w:rPr>
          <w:rFonts w:eastAsia="宋体"/>
        </w:rPr>
      </w:pPr>
    </w:p>
    <w:tbl>
      <w:tblPr>
        <w:tblStyle w:val="7"/>
        <w:tblW w:w="8331" w:type="dxa"/>
        <w:tblInd w:w="0" w:type="dxa"/>
        <w:tblLayout w:type="fixed"/>
        <w:tblCellMar>
          <w:top w:w="0" w:type="dxa"/>
          <w:left w:w="0" w:type="dxa"/>
          <w:bottom w:w="0" w:type="dxa"/>
          <w:right w:w="0" w:type="dxa"/>
        </w:tblCellMar>
      </w:tblPr>
      <w:tblGrid>
        <w:gridCol w:w="741"/>
        <w:gridCol w:w="1590"/>
        <w:gridCol w:w="3615"/>
        <w:gridCol w:w="1200"/>
        <w:gridCol w:w="1185"/>
      </w:tblGrid>
      <w:tr>
        <w:tblPrEx>
          <w:tblCellMar>
            <w:top w:w="0" w:type="dxa"/>
            <w:left w:w="0" w:type="dxa"/>
            <w:bottom w:w="0" w:type="dxa"/>
            <w:right w:w="0" w:type="dxa"/>
          </w:tblCellMar>
        </w:tblPrEx>
        <w:trPr>
          <w:trHeight w:val="345" w:hRule="atLeast"/>
        </w:trPr>
        <w:tc>
          <w:tcPr>
            <w:tcW w:w="8331" w:type="dxa"/>
            <w:gridSpan w:val="5"/>
            <w:tcBorders>
              <w:top w:val="nil"/>
              <w:left w:val="nil"/>
              <w:bottom w:val="single" w:color="auto" w:sz="4" w:space="0"/>
              <w:right w:val="nil"/>
            </w:tcBorders>
            <w:shd w:val="clear" w:color="auto" w:fill="auto"/>
            <w:noWrap/>
            <w:tcMar>
              <w:top w:w="15" w:type="dxa"/>
              <w:left w:w="15" w:type="dxa"/>
              <w:right w:w="15" w:type="dxa"/>
            </w:tcMar>
            <w:vAlign w:val="center"/>
          </w:tcPr>
          <w:p>
            <w:pPr>
              <w:widowControl/>
              <w:jc w:val="center"/>
              <w:textAlignment w:val="center"/>
              <w:rPr>
                <w:rFonts w:ascii="方正小标宋_GBK" w:hAnsi="方正小标宋_GBK" w:eastAsia="方正小标宋_GBK" w:cs="方正小标宋_GBK"/>
                <w:color w:val="000000"/>
                <w:szCs w:val="21"/>
              </w:rPr>
            </w:pPr>
            <w:r>
              <w:rPr>
                <w:rFonts w:hint="eastAsia" w:ascii="方正小标宋_GBK" w:hAnsi="方正小标宋_GBK" w:eastAsia="方正小标宋_GBK" w:cs="方正小标宋_GBK"/>
                <w:color w:val="000000"/>
                <w:kern w:val="0"/>
                <w:szCs w:val="21"/>
              </w:rPr>
              <w:t>车辆维保询价表</w:t>
            </w:r>
          </w:p>
        </w:tc>
      </w:tr>
      <w:tr>
        <w:tblPrEx>
          <w:tblCellMar>
            <w:top w:w="0" w:type="dxa"/>
            <w:left w:w="0" w:type="dxa"/>
            <w:bottom w:w="0" w:type="dxa"/>
            <w:right w:w="0" w:type="dxa"/>
          </w:tblCellMar>
        </w:tblPrEx>
        <w:trPr>
          <w:trHeight w:val="345" w:hRule="atLeast"/>
        </w:trPr>
        <w:tc>
          <w:tcPr>
            <w:tcW w:w="8331" w:type="dxa"/>
            <w:gridSpan w:val="5"/>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皮卡车型材料工时报价表           单位：元</w:t>
            </w:r>
          </w:p>
        </w:tc>
      </w:tr>
      <w:tr>
        <w:tblPrEx>
          <w:tblCellMar>
            <w:top w:w="0" w:type="dxa"/>
            <w:left w:w="0" w:type="dxa"/>
            <w:bottom w:w="0" w:type="dxa"/>
            <w:right w:w="0" w:type="dxa"/>
          </w:tblCellMar>
        </w:tblPrEx>
        <w:trPr>
          <w:trHeight w:val="300" w:hRule="atLeast"/>
        </w:trPr>
        <w:tc>
          <w:tcPr>
            <w:tcW w:w="741" w:type="dxa"/>
            <w:tcBorders>
              <w:top w:val="single" w:color="auto" w:sz="4" w:space="0"/>
              <w:left w:val="single" w:color="000000" w:sz="8" w:space="0"/>
              <w:bottom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序号</w:t>
            </w:r>
          </w:p>
        </w:tc>
        <w:tc>
          <w:tcPr>
            <w:tcW w:w="1590" w:type="dxa"/>
            <w:tcBorders>
              <w:top w:val="single" w:color="auto" w:sz="4" w:space="0"/>
              <w:left w:val="nil"/>
              <w:bottom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区分</w:t>
            </w:r>
          </w:p>
        </w:tc>
        <w:tc>
          <w:tcPr>
            <w:tcW w:w="3615" w:type="dxa"/>
            <w:tcBorders>
              <w:top w:val="single" w:color="auto" w:sz="4" w:space="0"/>
              <w:left w:val="nil"/>
              <w:bottom w:val="nil"/>
              <w:right w:val="nil"/>
            </w:tcBorders>
            <w:shd w:val="clear" w:color="auto" w:fill="auto"/>
            <w:tcMar>
              <w:top w:w="15" w:type="dxa"/>
              <w:left w:w="15" w:type="dxa"/>
              <w:right w:w="15" w:type="dxa"/>
            </w:tcMar>
            <w:vAlign w:val="center"/>
          </w:tcPr>
          <w:p>
            <w:pPr>
              <w:widowControl/>
              <w:jc w:val="center"/>
              <w:textAlignment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kern w:val="0"/>
                <w:szCs w:val="21"/>
              </w:rPr>
              <w:t>件名</w:t>
            </w:r>
          </w:p>
        </w:tc>
        <w:tc>
          <w:tcPr>
            <w:tcW w:w="120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材料</w:t>
            </w:r>
          </w:p>
        </w:tc>
        <w:tc>
          <w:tcPr>
            <w:tcW w:w="1185"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方正黑体_GBK" w:hAnsi="方正黑体_GBK" w:eastAsia="方正黑体_GBK" w:cs="方正黑体_GBK"/>
                <w:color w:val="000000"/>
                <w:kern w:val="0"/>
                <w:szCs w:val="21"/>
              </w:rPr>
            </w:pPr>
            <w:r>
              <w:rPr>
                <w:rFonts w:hint="eastAsia" w:ascii="方正黑体_GBK" w:hAnsi="方正黑体_GBK" w:eastAsia="方正黑体_GBK" w:cs="方正黑体_GBK"/>
                <w:color w:val="000000"/>
                <w:kern w:val="0"/>
                <w:szCs w:val="21"/>
              </w:rPr>
              <w:t>工时</w:t>
            </w: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w:t>
            </w:r>
          </w:p>
        </w:tc>
        <w:tc>
          <w:tcPr>
            <w:tcW w:w="1590" w:type="dxa"/>
            <w:tcBorders>
              <w:top w:val="single" w:color="000000" w:sz="8" w:space="0"/>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single" w:color="000000" w:sz="8" w:space="0"/>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离合器总泵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离合器分泵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离合器压盘</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飞轮总成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离合器分离轴承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离合拨叉</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离合器拨叉轴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离合器回位弹簧</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离合器踏板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   3/4档同步器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1/2档齿座</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组合齿轮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轴承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变速箱垫子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变速箱后油封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选档拉线总成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变速器部分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排挡拉线总成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刹车总泵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前刹车分泵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后刹车分泵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前刹车片/轮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后刹车片/轮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铜铆钉</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前刹车轮毂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后刹车轮毂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干燥器总成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29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刹车固定盘</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轮胎螺栓</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更换刹车管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碟刹总成/轮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碟刹卡钳/轮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刹车盘/轮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碟刹刹车片/轮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制动部分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刹车蹄/轮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球头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39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转向助力泵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转向泵油管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转向横拉杆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转向直拉杆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转向直拉杆臂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转向横拉杆臂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转向节总成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转向部分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主销修理包</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49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传动过桥总成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传动轴万向节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传动轴凸缘</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传动轴伸缩叉</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传动部分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过桥轴承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后差速器总成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平衡轴总成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后桥壳总成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推力杆总成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59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差速器垫子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差速器十字轴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差速器半轴齿轮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差速器行星齿轮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半轴螺丝</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后轮内外密封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后轮O型密封圈</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后桥部分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半轴齿轮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前钢板第一片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69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前钢板第二片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后钢板第一片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后钢板第二片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后钢板总成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托臂总成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平衡轴总成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悬架部分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推力杆总成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发电机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起动机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组合仪表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79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组合开关</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大灯总成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尾灯总成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大灯灯泡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小灯灯泡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边灯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雾灯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腰灯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示宽灯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暖风机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89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电瓶</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空调压缩机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冷凝板</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电喇叭</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雨刮电机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雨刮连动臂</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里程表传感器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压力传感器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水温传感器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加空调氟</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99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手控阀</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继动阀</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电器部分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四回路保护阀</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前挡风玻璃</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车门锁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护栏喷漆/车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外观部分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整车喷漆/车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气门室盖垫</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凸轮轴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发动机皮带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109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喷油器/只</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喷油嘴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节温器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汽缸垫</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进、排气管垫子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增压器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张紧轮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发动机上水管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水泵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机油泵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119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发电机皮带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风扇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发动机部分</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油底壳</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机油滤芯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柴油滤芯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空气滤芯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轴承油</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方向机油（2L）</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刹车油（2L）</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129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油水分离器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更换机油、滤芯（次）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更换防冻液</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更换尾门胶条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刹车保养轮/轮</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清洗发动机水箱</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拆装仪表台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安装全车边灯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解码（不用换配件）</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138</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检修启动线路</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139</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月检/台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140</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保养项目</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全车打黄油/台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141</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补胎/个</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142</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内胎</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143</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衬带</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144</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胎疤</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145</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流动补胎（次）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146</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城区施救/车/次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r>
        <w:tblPrEx>
          <w:tblCellMar>
            <w:top w:w="0" w:type="dxa"/>
            <w:left w:w="0" w:type="dxa"/>
            <w:bottom w:w="0" w:type="dxa"/>
            <w:right w:w="0" w:type="dxa"/>
          </w:tblCellMar>
        </w:tblPrEx>
        <w:trPr>
          <w:trHeight w:val="300"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147</w:t>
            </w:r>
          </w:p>
        </w:tc>
        <w:tc>
          <w:tcPr>
            <w:tcW w:w="159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补胎/其他</w:t>
            </w:r>
          </w:p>
        </w:tc>
        <w:tc>
          <w:tcPr>
            <w:tcW w:w="3615" w:type="dxa"/>
            <w:tcBorders>
              <w:top w:val="nil"/>
              <w:left w:val="nil"/>
              <w:bottom w:val="single" w:color="000000" w:sz="8" w:space="0"/>
              <w:right w:val="nil"/>
            </w:tcBorders>
            <w:shd w:val="clear" w:color="auto" w:fill="auto"/>
            <w:noWrap/>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rPr>
              <w:t>外出施救/车/次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rPr>
            </w:pPr>
          </w:p>
        </w:tc>
      </w:tr>
    </w:tbl>
    <w:p>
      <w:pPr>
        <w:pStyle w:val="6"/>
        <w:ind w:firstLine="0" w:firstLineChars="0"/>
        <w:rPr>
          <w:rFonts w:eastAsia="宋体"/>
        </w:rPr>
      </w:pPr>
    </w:p>
    <w:p>
      <w:pPr>
        <w:pStyle w:val="6"/>
        <w:spacing w:after="0" w:line="360" w:lineRule="auto"/>
        <w:ind w:firstLine="0" w:firstLineChars="0"/>
        <w:jc w:val="left"/>
        <w:rPr>
          <w:rFonts w:eastAsia="宋体" w:cs="宋体"/>
          <w:sz w:val="24"/>
          <w:szCs w:val="24"/>
        </w:rPr>
      </w:pPr>
    </w:p>
    <w:p>
      <w:pPr>
        <w:pStyle w:val="6"/>
        <w:spacing w:after="0" w:line="360" w:lineRule="auto"/>
        <w:ind w:firstLine="0" w:firstLineChars="0"/>
        <w:jc w:val="left"/>
        <w:rPr>
          <w:rFonts w:eastAsia="宋体" w:cs="宋体"/>
          <w:sz w:val="24"/>
          <w:szCs w:val="24"/>
        </w:rPr>
      </w:pPr>
    </w:p>
    <w:p>
      <w:pPr>
        <w:spacing w:line="440" w:lineRule="exact"/>
        <w:jc w:val="righ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竞选人：</w:t>
      </w:r>
      <w:r>
        <w:rPr>
          <w:rFonts w:hint="eastAsia" w:ascii="方正仿宋_GBK" w:hAnsi="方正仿宋_GBK" w:eastAsia="方正仿宋_GBK" w:cs="方正仿宋_GBK"/>
          <w:sz w:val="24"/>
          <w:szCs w:val="24"/>
          <w:u w:val="single"/>
        </w:rPr>
        <w:t xml:space="preserve">  (报价单位名称）   </w:t>
      </w:r>
      <w:r>
        <w:rPr>
          <w:rFonts w:hint="eastAsia" w:ascii="方正仿宋_GBK" w:hAnsi="方正仿宋_GBK" w:eastAsia="方正仿宋_GBK" w:cs="方正仿宋_GBK"/>
          <w:sz w:val="24"/>
          <w:szCs w:val="24"/>
        </w:rPr>
        <w:t>（盖单位公章）</w:t>
      </w:r>
    </w:p>
    <w:p>
      <w:pPr>
        <w:spacing w:line="440" w:lineRule="exact"/>
        <w:jc w:val="righ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 xml:space="preserve">法定代表人或其委托代理人：  （签字）    </w:t>
      </w:r>
      <w:r>
        <w:rPr>
          <w:rFonts w:hint="eastAsia" w:ascii="方正仿宋_GBK" w:hAnsi="方正仿宋_GBK" w:eastAsia="方正仿宋_GBK" w:cs="方正仿宋_GBK"/>
          <w:sz w:val="24"/>
          <w:szCs w:val="24"/>
        </w:rPr>
        <w:tab/>
      </w:r>
    </w:p>
    <w:p>
      <w:pPr>
        <w:spacing w:line="440" w:lineRule="exact"/>
        <w:jc w:val="center"/>
        <w:rPr>
          <w:rFonts w:ascii="方正仿宋_GBK" w:hAnsi="方正仿宋_GBK" w:eastAsia="方正仿宋_GBK" w:cs="方正仿宋_GBK"/>
          <w:sz w:val="24"/>
          <w:szCs w:val="24"/>
        </w:rPr>
      </w:pPr>
      <w:r>
        <w:rPr>
          <w:rFonts w:hint="eastAsia" w:ascii="方正仿宋_GBK" w:hAnsi="方正仿宋_GBK" w:cs="方正仿宋_GBK"/>
          <w:sz w:val="24"/>
          <w:szCs w:val="24"/>
        </w:rPr>
        <w:t xml:space="preserve">                    </w:t>
      </w:r>
      <w:r>
        <w:rPr>
          <w:rFonts w:hint="eastAsia" w:ascii="方正仿宋_GBK" w:hAnsi="方正仿宋_GBK" w:eastAsia="方正仿宋_GBK" w:cs="方正仿宋_GBK"/>
          <w:sz w:val="24"/>
          <w:szCs w:val="24"/>
        </w:rPr>
        <w:t xml:space="preserve">  年    月    日</w:t>
      </w:r>
    </w:p>
    <w:p>
      <w:pPr>
        <w:pStyle w:val="6"/>
        <w:spacing w:after="0" w:line="360" w:lineRule="auto"/>
        <w:ind w:firstLine="0" w:firstLineChars="0"/>
        <w:jc w:val="left"/>
        <w:rPr>
          <w:rFonts w:eastAsia="宋体" w:cs="宋体"/>
          <w:sz w:val="24"/>
          <w:szCs w:val="24"/>
        </w:rPr>
      </w:pPr>
    </w:p>
    <w:p>
      <w:pPr>
        <w:pStyle w:val="6"/>
        <w:spacing w:after="0" w:line="360" w:lineRule="auto"/>
        <w:ind w:firstLine="0" w:firstLineChars="0"/>
        <w:jc w:val="left"/>
        <w:rPr>
          <w:rFonts w:eastAsia="宋体" w:cs="宋体"/>
          <w:sz w:val="24"/>
          <w:szCs w:val="24"/>
        </w:rPr>
      </w:pPr>
    </w:p>
    <w:p>
      <w:pPr>
        <w:pStyle w:val="6"/>
        <w:spacing w:after="0" w:line="360" w:lineRule="auto"/>
        <w:ind w:firstLine="0" w:firstLineChars="0"/>
        <w:jc w:val="left"/>
        <w:rPr>
          <w:rFonts w:eastAsia="宋体" w:cs="宋体"/>
          <w:sz w:val="24"/>
          <w:szCs w:val="24"/>
        </w:rPr>
      </w:pPr>
    </w:p>
    <w:p>
      <w:pPr>
        <w:pStyle w:val="6"/>
        <w:spacing w:after="0" w:line="360" w:lineRule="auto"/>
        <w:ind w:firstLine="0" w:firstLineChars="0"/>
        <w:jc w:val="left"/>
        <w:rPr>
          <w:rFonts w:eastAsia="宋体" w:cs="宋体"/>
          <w:sz w:val="24"/>
          <w:szCs w:val="24"/>
        </w:rPr>
      </w:pPr>
    </w:p>
    <w:p>
      <w:pPr>
        <w:pStyle w:val="6"/>
        <w:spacing w:after="0" w:line="360" w:lineRule="auto"/>
        <w:ind w:firstLine="0" w:firstLineChars="0"/>
        <w:jc w:val="left"/>
        <w:rPr>
          <w:rFonts w:eastAsia="宋体" w:cs="宋体"/>
          <w:sz w:val="24"/>
          <w:szCs w:val="24"/>
        </w:rPr>
      </w:pPr>
    </w:p>
    <w:p>
      <w:pPr>
        <w:pStyle w:val="5"/>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附表2：</w:t>
      </w:r>
    </w:p>
    <w:p>
      <w:pPr>
        <w:tabs>
          <w:tab w:val="left" w:pos="6300"/>
        </w:tabs>
        <w:snapToGrid w:val="0"/>
        <w:spacing w:line="720" w:lineRule="exact"/>
        <w:jc w:val="center"/>
        <w:rPr>
          <w:rFonts w:ascii="宋体" w:hAnsi="宋体" w:eastAsia="宋体" w:cs="宋体"/>
          <w:sz w:val="24"/>
        </w:rPr>
      </w:pPr>
      <w:r>
        <w:rPr>
          <w:rFonts w:hint="eastAsia" w:ascii="宋体" w:hAnsi="宋体" w:eastAsia="宋体" w:cs="宋体"/>
          <w:b/>
          <w:bCs/>
          <w:sz w:val="52"/>
          <w:szCs w:val="52"/>
        </w:rPr>
        <w:t>授权委托书</w:t>
      </w:r>
    </w:p>
    <w:p>
      <w:pPr>
        <w:tabs>
          <w:tab w:val="left" w:pos="6300"/>
        </w:tabs>
        <w:snapToGrid w:val="0"/>
        <w:spacing w:line="500" w:lineRule="exact"/>
        <w:ind w:firstLine="570"/>
        <w:rPr>
          <w:rFonts w:ascii="宋体" w:hAnsi="宋体" w:cs="宋体"/>
          <w:sz w:val="24"/>
        </w:rPr>
      </w:pPr>
    </w:p>
    <w:p>
      <w:pPr>
        <w:tabs>
          <w:tab w:val="left" w:pos="6300"/>
        </w:tabs>
        <w:snapToGrid w:val="0"/>
        <w:spacing w:line="500" w:lineRule="exact"/>
        <w:rPr>
          <w:rFonts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致：重庆市永川区益景环保科技有限公司：</w:t>
      </w:r>
    </w:p>
    <w:p>
      <w:pPr>
        <w:tabs>
          <w:tab w:val="left" w:pos="6300"/>
        </w:tabs>
        <w:snapToGrid w:val="0"/>
        <w:spacing w:line="500" w:lineRule="exact"/>
        <w:ind w:firstLine="480" w:firstLineChars="200"/>
        <w:rPr>
          <w:rFonts w:ascii="宋体" w:hAnsi="宋体" w:cs="宋体"/>
          <w:sz w:val="24"/>
          <w:u w:val="single"/>
        </w:rPr>
      </w:pPr>
    </w:p>
    <w:p>
      <w:pPr>
        <w:tabs>
          <w:tab w:val="left" w:pos="6300"/>
        </w:tabs>
        <w:snapToGrid w:val="0"/>
        <w:spacing w:line="500" w:lineRule="exact"/>
        <w:ind w:firstLine="480" w:firstLineChars="200"/>
        <w:rPr>
          <w:rFonts w:ascii="方正仿宋_GBK" w:hAnsi="方正仿宋_GBK" w:eastAsia="方正仿宋_GBK" w:cs="方正仿宋_GBK"/>
          <w:sz w:val="24"/>
        </w:rPr>
      </w:pPr>
      <w:r>
        <w:rPr>
          <w:rFonts w:hint="eastAsia" w:ascii="方正仿宋_GBK" w:hAnsi="方正仿宋_GBK" w:eastAsia="方正仿宋_GBK" w:cs="方正仿宋_GBK"/>
          <w:sz w:val="24"/>
          <w:u w:val="single"/>
        </w:rPr>
        <w:t xml:space="preserve">    （竞选人法定代表人姓名）</w:t>
      </w:r>
      <w:r>
        <w:rPr>
          <w:rFonts w:hint="eastAsia" w:ascii="方正仿宋_GBK" w:hAnsi="方正仿宋_GBK" w:eastAsia="方正仿宋_GBK" w:cs="方正仿宋_GBK"/>
          <w:sz w:val="24"/>
        </w:rPr>
        <w:t>是</w:t>
      </w:r>
      <w:r>
        <w:rPr>
          <w:rFonts w:hint="eastAsia" w:ascii="方正仿宋_GBK" w:hAnsi="方正仿宋_GBK" w:eastAsia="方正仿宋_GBK" w:cs="方正仿宋_GBK"/>
          <w:sz w:val="24"/>
          <w:u w:val="single"/>
        </w:rPr>
        <w:t xml:space="preserve">     （竞选人单位名称）    </w:t>
      </w:r>
      <w:r>
        <w:rPr>
          <w:rFonts w:hint="eastAsia" w:ascii="方正仿宋_GBK" w:hAnsi="方正仿宋_GBK" w:eastAsia="方正仿宋_GBK" w:cs="方正仿宋_GBK"/>
          <w:sz w:val="24"/>
        </w:rPr>
        <w:t>的，特授权</w:t>
      </w:r>
      <w:r>
        <w:rPr>
          <w:rFonts w:hint="eastAsia" w:ascii="方正仿宋_GBK" w:hAnsi="方正仿宋_GBK" w:eastAsia="方正仿宋_GBK" w:cs="方正仿宋_GBK"/>
          <w:sz w:val="24"/>
          <w:u w:val="single"/>
        </w:rPr>
        <w:t xml:space="preserve">          （被授权人姓名）（身份证号码：）</w:t>
      </w:r>
      <w:r>
        <w:rPr>
          <w:rFonts w:hint="eastAsia" w:ascii="方正仿宋_GBK" w:hAnsi="方正仿宋_GBK" w:eastAsia="方正仿宋_GBK" w:cs="方正仿宋_GBK"/>
          <w:sz w:val="24"/>
        </w:rPr>
        <w:t>代表我单位全权办理</w:t>
      </w:r>
      <w:r>
        <w:rPr>
          <w:rFonts w:hint="eastAsia" w:ascii="方正仿宋_GBK" w:hAnsi="方正仿宋_GBK" w:eastAsia="方正仿宋_GBK" w:cs="方正仿宋_GBK"/>
          <w:sz w:val="24"/>
          <w:u w:val="single"/>
        </w:rPr>
        <w:t xml:space="preserve">  （项目名称）  </w:t>
      </w:r>
      <w:r>
        <w:rPr>
          <w:rFonts w:hint="eastAsia" w:ascii="方正仿宋_GBK" w:hAnsi="方正仿宋_GBK" w:eastAsia="方正仿宋_GBK" w:cs="方正仿宋_GBK"/>
          <w:sz w:val="24"/>
        </w:rPr>
        <w:t>项目的竞选、谈判、签约等具体工作，并签署全部有关文件、协议及合同。</w:t>
      </w:r>
    </w:p>
    <w:p>
      <w:pPr>
        <w:tabs>
          <w:tab w:val="left" w:pos="6300"/>
        </w:tabs>
        <w:snapToGrid w:val="0"/>
        <w:spacing w:line="500" w:lineRule="exact"/>
        <w:ind w:firstLine="480" w:firstLineChars="200"/>
        <w:rPr>
          <w:rFonts w:ascii="方正仿宋_GBK" w:hAnsi="方正仿宋_GBK" w:eastAsia="方正仿宋_GBK" w:cs="方正仿宋_GBK"/>
          <w:sz w:val="24"/>
        </w:rPr>
      </w:pPr>
      <w:r>
        <w:rPr>
          <w:rFonts w:hint="eastAsia" w:ascii="方正仿宋_GBK" w:hAnsi="方正仿宋_GBK" w:eastAsia="方正仿宋_GBK" w:cs="方正仿宋_GBK"/>
          <w:sz w:val="24"/>
        </w:rPr>
        <w:t>我单位对被授权人的签名负全部责任。</w:t>
      </w:r>
    </w:p>
    <w:p>
      <w:pPr>
        <w:tabs>
          <w:tab w:val="left" w:pos="6300"/>
        </w:tabs>
        <w:snapToGrid w:val="0"/>
        <w:spacing w:line="500" w:lineRule="exact"/>
        <w:ind w:firstLine="480" w:firstLineChars="200"/>
        <w:rPr>
          <w:rFonts w:ascii="方正仿宋_GBK" w:hAnsi="方正仿宋_GBK" w:eastAsia="方正仿宋_GBK" w:cs="方正仿宋_GBK"/>
          <w:sz w:val="24"/>
        </w:rPr>
      </w:pPr>
      <w:r>
        <w:rPr>
          <w:rFonts w:hint="eastAsia" w:ascii="方正仿宋_GBK" w:hAnsi="方正仿宋_GBK" w:eastAsia="方正仿宋_GBK" w:cs="方正仿宋_GBK"/>
          <w:sz w:val="24"/>
        </w:rPr>
        <w:t>在撤消授权的书面通知以前，本授权委托书一直有效。被授权人在授权委托书有效期</w:t>
      </w:r>
      <w:r>
        <w:rPr>
          <w:rFonts w:hint="eastAsia" w:ascii="方正仿宋_GBK" w:hAnsi="方正仿宋_GBK" w:eastAsia="方正仿宋_GBK" w:cs="方正仿宋_GBK"/>
          <w:sz w:val="24"/>
          <w:u w:val="single"/>
        </w:rPr>
        <w:t>（天数）日</w:t>
      </w:r>
      <w:r>
        <w:rPr>
          <w:rFonts w:hint="eastAsia" w:ascii="方正仿宋_GBK" w:hAnsi="方正仿宋_GBK" w:eastAsia="方正仿宋_GBK" w:cs="方正仿宋_GBK"/>
          <w:sz w:val="24"/>
        </w:rPr>
        <w:t>内签署的所有文件不因授权的撤消而失效。</w:t>
      </w:r>
    </w:p>
    <w:p>
      <w:pPr>
        <w:tabs>
          <w:tab w:val="left" w:pos="6300"/>
        </w:tabs>
        <w:snapToGrid w:val="0"/>
        <w:spacing w:line="500" w:lineRule="exact"/>
        <w:ind w:firstLine="570"/>
        <w:rPr>
          <w:rFonts w:ascii="方正仿宋_GBK" w:hAnsi="方正仿宋_GBK" w:eastAsia="方正仿宋_GBK" w:cs="方正仿宋_GBK"/>
          <w:sz w:val="24"/>
        </w:rPr>
      </w:pPr>
    </w:p>
    <w:p>
      <w:pPr>
        <w:tabs>
          <w:tab w:val="left" w:pos="6300"/>
        </w:tabs>
        <w:snapToGrid w:val="0"/>
        <w:spacing w:line="500" w:lineRule="exact"/>
        <w:ind w:firstLine="570"/>
        <w:rPr>
          <w:rFonts w:ascii="方正仿宋_GBK" w:hAnsi="方正仿宋_GBK" w:eastAsia="方正仿宋_GBK" w:cs="方正仿宋_GBK"/>
          <w:sz w:val="24"/>
        </w:rPr>
      </w:pPr>
    </w:p>
    <w:p>
      <w:pPr>
        <w:tabs>
          <w:tab w:val="left" w:pos="6300"/>
        </w:tabs>
        <w:snapToGrid w:val="0"/>
        <w:spacing w:line="500" w:lineRule="exact"/>
        <w:ind w:firstLine="570"/>
        <w:rPr>
          <w:rFonts w:ascii="方正仿宋_GBK" w:hAnsi="方正仿宋_GBK" w:eastAsia="方正仿宋_GBK" w:cs="方正仿宋_GBK"/>
          <w:sz w:val="24"/>
          <w:u w:val="single"/>
        </w:rPr>
      </w:pPr>
      <w:r>
        <w:rPr>
          <w:rFonts w:hint="eastAsia" w:ascii="方正仿宋_GBK" w:hAnsi="方正仿宋_GBK" w:eastAsia="方正仿宋_GBK" w:cs="方正仿宋_GBK"/>
          <w:sz w:val="24"/>
        </w:rPr>
        <w:t>被授权人签名：</w:t>
      </w:r>
      <w:r>
        <w:rPr>
          <w:rFonts w:hint="eastAsia" w:ascii="方正仿宋_GBK" w:hAnsi="方正仿宋_GBK" w:eastAsia="方正仿宋_GBK" w:cs="方正仿宋_GBK"/>
          <w:sz w:val="24"/>
          <w:u w:val="single"/>
        </w:rPr>
        <w:t xml:space="preserve">          </w:t>
      </w:r>
      <w:r>
        <w:rPr>
          <w:rFonts w:hint="eastAsia" w:ascii="方正仿宋_GBK" w:hAnsi="方正仿宋_GBK" w:eastAsia="方正仿宋_GBK" w:cs="方正仿宋_GBK"/>
          <w:sz w:val="24"/>
        </w:rPr>
        <w:t xml:space="preserve">     竞选人签名：</w:t>
      </w:r>
      <w:r>
        <w:rPr>
          <w:rFonts w:hint="eastAsia" w:ascii="方正仿宋_GBK" w:hAnsi="方正仿宋_GBK" w:eastAsia="方正仿宋_GBK" w:cs="方正仿宋_GBK"/>
          <w:sz w:val="24"/>
          <w:u w:val="single"/>
        </w:rPr>
        <w:t xml:space="preserve"> （法定代表人签字或盖章）      </w:t>
      </w:r>
      <w:r>
        <w:rPr>
          <w:rFonts w:hint="eastAsia" w:ascii="方正仿宋_GBK" w:hAnsi="方正仿宋_GBK" w:eastAsia="方正仿宋_GBK" w:cs="方正仿宋_GBK"/>
          <w:sz w:val="24"/>
        </w:rPr>
        <w:t xml:space="preserve"> </w:t>
      </w:r>
      <w:r>
        <w:rPr>
          <w:rFonts w:hint="eastAsia" w:ascii="方正仿宋_GBK" w:hAnsi="方正仿宋_GBK" w:eastAsia="方正仿宋_GBK" w:cs="方正仿宋_GBK"/>
          <w:sz w:val="24"/>
          <w:u w:val="single"/>
        </w:rPr>
        <w:t xml:space="preserve">            </w:t>
      </w:r>
    </w:p>
    <w:p>
      <w:pPr>
        <w:tabs>
          <w:tab w:val="left" w:pos="6300"/>
        </w:tabs>
        <w:snapToGrid w:val="0"/>
        <w:spacing w:line="500" w:lineRule="exact"/>
        <w:ind w:firstLine="570"/>
        <w:rPr>
          <w:rFonts w:ascii="方正仿宋_GBK" w:hAnsi="方正仿宋_GBK" w:eastAsia="方正仿宋_GBK" w:cs="方正仿宋_GBK"/>
          <w:sz w:val="24"/>
          <w:u w:val="single"/>
        </w:rPr>
      </w:pPr>
    </w:p>
    <w:p>
      <w:pPr>
        <w:tabs>
          <w:tab w:val="left" w:pos="6300"/>
        </w:tabs>
        <w:snapToGrid w:val="0"/>
        <w:spacing w:line="500" w:lineRule="exact"/>
        <w:ind w:firstLine="570"/>
        <w:rPr>
          <w:rFonts w:ascii="方正仿宋_GBK" w:hAnsi="方正仿宋_GBK" w:eastAsia="方正仿宋_GBK" w:cs="方正仿宋_GBK"/>
          <w:sz w:val="24"/>
        </w:rPr>
      </w:pPr>
      <w:r>
        <w:rPr>
          <w:rFonts w:hint="eastAsia" w:ascii="方正仿宋_GBK" w:hAnsi="方正仿宋_GBK" w:eastAsia="方正仿宋_GBK" w:cs="方正仿宋_GBK"/>
          <w:sz w:val="24"/>
        </w:rPr>
        <w:t>（附：被授权人身份证复印件正、反双面）</w:t>
      </w:r>
    </w:p>
    <w:p>
      <w:pPr>
        <w:tabs>
          <w:tab w:val="left" w:pos="6300"/>
        </w:tabs>
        <w:snapToGrid w:val="0"/>
        <w:spacing w:line="500" w:lineRule="exact"/>
        <w:ind w:firstLine="570"/>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w:t>
      </w:r>
    </w:p>
    <w:p>
      <w:pPr>
        <w:tabs>
          <w:tab w:val="left" w:pos="6300"/>
        </w:tabs>
        <w:snapToGrid w:val="0"/>
        <w:spacing w:line="500" w:lineRule="exact"/>
        <w:ind w:firstLine="570"/>
        <w:rPr>
          <w:rFonts w:ascii="方正仿宋_GBK" w:hAnsi="方正仿宋_GBK" w:eastAsia="方正仿宋_GBK" w:cs="方正仿宋_GBK"/>
          <w:sz w:val="24"/>
        </w:rPr>
      </w:pPr>
    </w:p>
    <w:p>
      <w:pPr>
        <w:tabs>
          <w:tab w:val="left" w:pos="6300"/>
        </w:tabs>
        <w:snapToGrid w:val="0"/>
        <w:spacing w:line="500" w:lineRule="exact"/>
        <w:ind w:firstLine="570"/>
        <w:rPr>
          <w:rFonts w:ascii="方正仿宋_GBK" w:hAnsi="方正仿宋_GBK" w:eastAsia="方正仿宋_GBK" w:cs="方正仿宋_GBK"/>
          <w:sz w:val="24"/>
        </w:rPr>
      </w:pPr>
    </w:p>
    <w:p>
      <w:pPr>
        <w:tabs>
          <w:tab w:val="left" w:pos="6300"/>
        </w:tabs>
        <w:snapToGrid w:val="0"/>
        <w:spacing w:line="360" w:lineRule="auto"/>
        <w:ind w:firstLine="570"/>
        <w:jc w:val="right"/>
        <w:rPr>
          <w:rFonts w:ascii="方正仿宋_GBK" w:hAnsi="方正仿宋_GBK" w:eastAsia="方正仿宋_GBK" w:cs="方正仿宋_GBK"/>
          <w:sz w:val="24"/>
        </w:rPr>
      </w:pPr>
      <w:r>
        <w:rPr>
          <w:rFonts w:hint="eastAsia" w:ascii="方正仿宋_GBK" w:hAnsi="方正仿宋_GBK" w:eastAsia="方正仿宋_GBK" w:cs="方正仿宋_GBK"/>
          <w:sz w:val="24"/>
          <w:szCs w:val="28"/>
        </w:rPr>
        <w:t>竞选人：</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u w:val="single"/>
        </w:rPr>
        <w:t>（竞选人单位名称）</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（盖单位公章）</w:t>
      </w:r>
    </w:p>
    <w:p>
      <w:pPr>
        <w:tabs>
          <w:tab w:val="left" w:pos="6300"/>
        </w:tabs>
        <w:snapToGrid w:val="0"/>
        <w:spacing w:line="500" w:lineRule="exact"/>
        <w:ind w:right="480" w:firstLine="570"/>
        <w:jc w:val="right"/>
        <w:rPr>
          <w:rFonts w:ascii="方正仿宋_GBK" w:hAnsi="方正仿宋_GBK" w:eastAsia="方正仿宋_GBK" w:cs="方正仿宋_GBK"/>
          <w:sz w:val="24"/>
        </w:rPr>
      </w:pP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年</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月</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日</w:t>
      </w:r>
    </w:p>
    <w:p/>
    <w:p>
      <w:pPr>
        <w:pStyle w:val="5"/>
      </w:pPr>
    </w:p>
    <w:p>
      <w:pPr>
        <w:pStyle w:val="6"/>
        <w:ind w:firstLine="320"/>
      </w:pPr>
    </w:p>
    <w:p>
      <w:pPr>
        <w:pStyle w:val="6"/>
        <w:ind w:firstLine="320"/>
      </w:pPr>
    </w:p>
    <w:p>
      <w:pPr>
        <w:pStyle w:val="6"/>
        <w:ind w:firstLine="320"/>
      </w:pPr>
    </w:p>
    <w:p>
      <w:pPr>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附表3：</w:t>
      </w:r>
    </w:p>
    <w:p>
      <w:pPr>
        <w:jc w:val="center"/>
        <w:rPr>
          <w:rFonts w:ascii="宋体" w:hAnsi="宋体" w:cs="宋体"/>
          <w:b/>
          <w:bCs/>
          <w:sz w:val="52"/>
          <w:szCs w:val="52"/>
        </w:rPr>
      </w:pPr>
    </w:p>
    <w:p>
      <w:pPr>
        <w:jc w:val="center"/>
        <w:rPr>
          <w:rFonts w:ascii="宋体" w:hAnsi="宋体" w:cs="宋体"/>
          <w:sz w:val="24"/>
        </w:rPr>
      </w:pPr>
      <w:r>
        <w:rPr>
          <w:rFonts w:hint="eastAsia" w:ascii="宋体" w:hAnsi="宋体" w:cs="宋体"/>
          <w:b/>
          <w:bCs/>
          <w:sz w:val="52"/>
          <w:szCs w:val="52"/>
        </w:rPr>
        <w:t>诚 信 声 明</w:t>
      </w:r>
    </w:p>
    <w:p>
      <w:pPr>
        <w:tabs>
          <w:tab w:val="left" w:pos="6300"/>
        </w:tabs>
        <w:snapToGrid w:val="0"/>
        <w:spacing w:line="500" w:lineRule="exact"/>
        <w:ind w:firstLine="570"/>
        <w:rPr>
          <w:rFonts w:ascii="宋体" w:hAnsi="宋体" w:cs="宋体"/>
          <w:sz w:val="24"/>
        </w:rPr>
      </w:pPr>
    </w:p>
    <w:p>
      <w:pPr>
        <w:tabs>
          <w:tab w:val="left" w:pos="6300"/>
        </w:tabs>
        <w:snapToGrid w:val="0"/>
        <w:spacing w:line="500" w:lineRule="exact"/>
        <w:rPr>
          <w:rFonts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致：重庆市永川区益景环保科技有限公司：</w:t>
      </w:r>
    </w:p>
    <w:p>
      <w:pPr>
        <w:tabs>
          <w:tab w:val="left" w:pos="6300"/>
        </w:tabs>
        <w:snapToGrid w:val="0"/>
        <w:spacing w:line="500" w:lineRule="exact"/>
        <w:rPr>
          <w:rFonts w:ascii="宋体" w:hAnsi="宋体" w:cs="宋体"/>
          <w:b/>
          <w:bCs/>
          <w:szCs w:val="28"/>
        </w:rPr>
      </w:pPr>
    </w:p>
    <w:p>
      <w:pPr>
        <w:tabs>
          <w:tab w:val="left" w:pos="6300"/>
        </w:tabs>
        <w:snapToGrid w:val="0"/>
        <w:spacing w:line="500" w:lineRule="exact"/>
        <w:ind w:firstLine="480" w:firstLineChars="200"/>
        <w:rPr>
          <w:rFonts w:ascii="方正仿宋_GBK" w:hAnsi="方正仿宋_GBK" w:eastAsia="方正仿宋_GBK" w:cs="方正仿宋_GBK"/>
          <w:sz w:val="24"/>
        </w:rPr>
      </w:pPr>
      <w:r>
        <w:rPr>
          <w:rFonts w:hint="eastAsia" w:ascii="方正仿宋_GBK" w:hAnsi="方正仿宋_GBK" w:eastAsia="方正仿宋_GBK" w:cs="方正仿宋_GBK"/>
          <w:sz w:val="24"/>
          <w:u w:val="single"/>
        </w:rPr>
        <w:t xml:space="preserve">      （竞选人单位名称）      </w:t>
      </w:r>
      <w:r>
        <w:rPr>
          <w:rFonts w:hint="eastAsia" w:ascii="方正仿宋_GBK" w:hAnsi="方正仿宋_GBK" w:eastAsia="方正仿宋_GBK" w:cs="方正仿宋_GBK"/>
          <w:sz w:val="24"/>
        </w:rPr>
        <w:t>郑重声明，我单位具有良好的商业信誉和健全的财务会计制度，具有履行合同所必需的设备和专业技术能力，有依法缴纳税收和社会保障资金的良好记录，在合同签订前后随时愿意提供相关证明材料；符合比选文件规定的供应商资格条件。我方对以上声明负全部法律责任。</w:t>
      </w:r>
    </w:p>
    <w:p>
      <w:pPr>
        <w:tabs>
          <w:tab w:val="left" w:pos="6300"/>
        </w:tabs>
        <w:snapToGrid w:val="0"/>
        <w:spacing w:line="500" w:lineRule="exact"/>
        <w:ind w:firstLine="480" w:firstLineChars="200"/>
        <w:rPr>
          <w:rFonts w:ascii="方正仿宋_GBK" w:hAnsi="方正仿宋_GBK" w:eastAsia="方正仿宋_GBK" w:cs="方正仿宋_GBK"/>
          <w:sz w:val="24"/>
        </w:rPr>
      </w:pPr>
      <w:r>
        <w:rPr>
          <w:rFonts w:hint="eastAsia" w:ascii="方正仿宋_GBK" w:hAnsi="方正仿宋_GBK" w:eastAsia="方正仿宋_GBK" w:cs="方正仿宋_GBK"/>
          <w:sz w:val="24"/>
        </w:rPr>
        <w:t>特此声明。</w:t>
      </w:r>
    </w:p>
    <w:p>
      <w:pPr>
        <w:tabs>
          <w:tab w:val="left" w:pos="6300"/>
        </w:tabs>
        <w:snapToGrid w:val="0"/>
        <w:spacing w:line="500" w:lineRule="exact"/>
        <w:ind w:firstLine="570"/>
        <w:rPr>
          <w:rFonts w:ascii="方正仿宋_GBK" w:hAnsi="方正仿宋_GBK" w:eastAsia="方正仿宋_GBK" w:cs="方正仿宋_GBK"/>
          <w:sz w:val="24"/>
        </w:rPr>
      </w:pPr>
    </w:p>
    <w:p>
      <w:pPr>
        <w:tabs>
          <w:tab w:val="left" w:pos="6300"/>
        </w:tabs>
        <w:snapToGrid w:val="0"/>
        <w:spacing w:line="500" w:lineRule="exact"/>
        <w:ind w:firstLine="570"/>
        <w:rPr>
          <w:rFonts w:ascii="方正仿宋_GBK" w:hAnsi="方正仿宋_GBK" w:eastAsia="方正仿宋_GBK" w:cs="方正仿宋_GBK"/>
          <w:sz w:val="24"/>
        </w:rPr>
      </w:pPr>
    </w:p>
    <w:p>
      <w:pPr>
        <w:tabs>
          <w:tab w:val="left" w:pos="6300"/>
        </w:tabs>
        <w:snapToGrid w:val="0"/>
        <w:spacing w:line="500" w:lineRule="exact"/>
        <w:ind w:firstLine="570"/>
        <w:rPr>
          <w:rFonts w:ascii="方正仿宋_GBK" w:hAnsi="方正仿宋_GBK" w:eastAsia="方正仿宋_GBK" w:cs="方正仿宋_GBK"/>
          <w:sz w:val="24"/>
        </w:rPr>
      </w:pPr>
    </w:p>
    <w:p>
      <w:pPr>
        <w:tabs>
          <w:tab w:val="left" w:pos="6300"/>
        </w:tabs>
        <w:snapToGrid w:val="0"/>
        <w:spacing w:line="360" w:lineRule="auto"/>
        <w:ind w:firstLine="570"/>
        <w:jc w:val="right"/>
        <w:rPr>
          <w:rFonts w:ascii="方正仿宋_GBK" w:hAnsi="方正仿宋_GBK" w:eastAsia="方正仿宋_GBK" w:cs="方正仿宋_GBK"/>
          <w:sz w:val="24"/>
        </w:rPr>
      </w:pPr>
      <w:r>
        <w:rPr>
          <w:rFonts w:hint="eastAsia" w:ascii="方正仿宋_GBK" w:hAnsi="方正仿宋_GBK" w:eastAsia="方正仿宋_GBK" w:cs="方正仿宋_GBK"/>
          <w:sz w:val="24"/>
          <w:szCs w:val="28"/>
        </w:rPr>
        <w:t>竞选人：</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u w:val="single"/>
        </w:rPr>
        <w:t>（竞选人单位名称）</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（盖单位公章）</w:t>
      </w:r>
    </w:p>
    <w:p>
      <w:pPr>
        <w:tabs>
          <w:tab w:val="left" w:pos="6300"/>
        </w:tabs>
        <w:snapToGrid w:val="0"/>
        <w:spacing w:line="500" w:lineRule="exact"/>
        <w:ind w:right="480" w:firstLine="570"/>
        <w:jc w:val="right"/>
        <w:rPr>
          <w:rFonts w:ascii="方正仿宋_GBK" w:hAnsi="方正仿宋_GBK" w:eastAsia="方正仿宋_GBK" w:cs="方正仿宋_GBK"/>
          <w:sz w:val="24"/>
        </w:rPr>
      </w:pP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年</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月</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日</w:t>
      </w:r>
    </w:p>
    <w:p>
      <w:pPr>
        <w:pStyle w:val="6"/>
        <w:ind w:firstLine="240"/>
        <w:rPr>
          <w:rFonts w:ascii="方正仿宋_GBK" w:hAnsi="方正仿宋_GBK" w:cs="方正仿宋_GBK"/>
          <w:sz w:val="24"/>
          <w:szCs w:val="24"/>
        </w:rPr>
      </w:pPr>
    </w:p>
    <w:p>
      <w:pPr>
        <w:pStyle w:val="6"/>
        <w:ind w:firstLine="320"/>
      </w:pPr>
    </w:p>
    <w:p>
      <w:pPr>
        <w:pStyle w:val="5"/>
        <w:sectPr>
          <w:pgSz w:w="11906" w:h="16838"/>
          <w:pgMar w:top="1440" w:right="1800" w:bottom="1440" w:left="1800" w:header="851" w:footer="992" w:gutter="0"/>
          <w:cols w:space="425" w:num="1"/>
          <w:docGrid w:type="lines" w:linePitch="312" w:charSpace="0"/>
        </w:sectPr>
      </w:pPr>
    </w:p>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0210E4"/>
    <w:multiLevelType w:val="singleLevel"/>
    <w:tmpl w:val="F20210E4"/>
    <w:lvl w:ilvl="0" w:tentative="0">
      <w:start w:val="4"/>
      <w:numFmt w:val="chineseCounting"/>
      <w:suff w:val="nothing"/>
      <w:lvlText w:val="%1、"/>
      <w:lvlJc w:val="left"/>
      <w:rPr>
        <w:rFonts w:hint="eastAsia" w:ascii="方正黑体_GBK" w:hAnsi="方正黑体_GBK" w:eastAsia="方正黑体_GBK" w:cs="方正黑体_GBK"/>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MDU0ZmZjNjA1ZTIzOTY3MTcwMGY3NmQ4NmU5MTgifQ=="/>
  </w:docVars>
  <w:rsids>
    <w:rsidRoot w:val="00000000"/>
    <w:rsid w:val="08DF7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qFormat/>
    <w:uiPriority w:val="0"/>
    <w:pPr>
      <w:keepNext/>
      <w:keepLines/>
      <w:adjustRightInd w:val="0"/>
      <w:snapToGrid w:val="0"/>
      <w:spacing w:line="360" w:lineRule="auto"/>
      <w:outlineLvl w:val="1"/>
    </w:pPr>
    <w:rPr>
      <w:rFonts w:ascii="宋体" w:hAnsi="宋体" w:eastAsia="方正仿宋_GBK" w:cs="Times New Roman"/>
      <w:sz w:val="32"/>
      <w:szCs w:val="2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semiHidden/>
    <w:unhideWhenUsed/>
    <w:qFormat/>
    <w:uiPriority w:val="99"/>
    <w:pPr>
      <w:spacing w:after="120"/>
      <w:ind w:left="420" w:leftChars="200"/>
    </w:pPr>
  </w:style>
  <w:style w:type="paragraph" w:styleId="5">
    <w:name w:val="Body Text"/>
    <w:basedOn w:val="1"/>
    <w:next w:val="6"/>
    <w:semiHidden/>
    <w:unhideWhenUsed/>
    <w:qFormat/>
    <w:uiPriority w:val="99"/>
    <w:pPr>
      <w:spacing w:after="120"/>
    </w:pPr>
  </w:style>
  <w:style w:type="paragraph" w:styleId="6">
    <w:name w:val="Body Text First Indent"/>
    <w:basedOn w:val="5"/>
    <w:qFormat/>
    <w:uiPriority w:val="0"/>
    <w:pPr>
      <w:ind w:firstLine="420" w:firstLineChars="100"/>
    </w:pPr>
    <w:rPr>
      <w:rFonts w:ascii="Times New Roman" w:hAnsi="Times New Roman" w:eastAsia="方正仿宋_GBK" w:cs="Times New Roman"/>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2022-06-17T01:27:46Z</dcterms:created>
  <dc:creator>Administrator</dc:creator>
  <cp:lastModifiedBy>丫头</cp:lastModifiedBy>
  <dcterms:modified xsi:type="dcterms:W3CDTF">2022-06-17T01:28:51Z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508FF0254E764F7ABA59CFB1344BD7F2</vt:lpwstr>
  </property>
</Properties>
</file>