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line="300" w:lineRule="auto"/>
        <w:ind w:firstLine="0"/>
        <w:rPr>
          <w:rFonts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西永站泊位溜槽技术改造项目方案要求</w:t>
      </w:r>
    </w:p>
    <w:p>
      <w:pPr>
        <w:pStyle w:val="3"/>
        <w:adjustRightInd w:val="0"/>
        <w:snapToGrid w:val="0"/>
        <w:rPr>
          <w:rFonts w:cs="宋体"/>
          <w:sz w:val="32"/>
          <w:szCs w:val="32"/>
        </w:rPr>
      </w:pPr>
      <w:r>
        <w:rPr>
          <w:rFonts w:hint="eastAsia" w:cs="宋体"/>
          <w:sz w:val="32"/>
          <w:szCs w:val="32"/>
        </w:rPr>
        <w:t>一、方案商务要求</w:t>
      </w:r>
    </w:p>
    <w:p>
      <w:pPr>
        <w:pStyle w:val="5"/>
        <w:keepNext w:val="0"/>
        <w:keepLines w:val="0"/>
        <w:kinsoku w:val="0"/>
        <w:overflowPunct w:val="0"/>
        <w:autoSpaceDE w:val="0"/>
        <w:autoSpaceDN w:val="0"/>
        <w:spacing w:line="44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一、采购项目内容</w:t>
      </w:r>
    </w:p>
    <w:tbl>
      <w:tblPr>
        <w:tblStyle w:val="9"/>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945"/>
        <w:gridCol w:w="3343"/>
        <w:gridCol w:w="1469"/>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922" w:type="dxa"/>
            <w:shd w:val="clear" w:color="000000" w:fill="FFFFFF"/>
            <w:noWrap/>
            <w:vAlign w:val="center"/>
          </w:tcPr>
          <w:p>
            <w:pPr>
              <w:snapToGrid w:val="0"/>
              <w:spacing w:line="320" w:lineRule="exact"/>
              <w:jc w:val="center"/>
              <w:rPr>
                <w:rFonts w:ascii="方正仿宋_GBK" w:hAnsi="方正仿宋_GBK" w:cs="方正仿宋_GBK"/>
                <w:b/>
                <w:bCs/>
                <w:szCs w:val="32"/>
              </w:rPr>
            </w:pPr>
            <w:r>
              <w:rPr>
                <w:rFonts w:hint="eastAsia" w:ascii="方正仿宋_GBK" w:hAnsi="方正仿宋_GBK" w:cs="方正仿宋_GBK"/>
                <w:b/>
                <w:bCs/>
                <w:szCs w:val="32"/>
              </w:rPr>
              <w:t>序号</w:t>
            </w:r>
          </w:p>
        </w:tc>
        <w:tc>
          <w:tcPr>
            <w:tcW w:w="1945" w:type="dxa"/>
            <w:shd w:val="clear" w:color="000000" w:fill="FFFFFF"/>
            <w:noWrap/>
            <w:vAlign w:val="center"/>
          </w:tcPr>
          <w:p>
            <w:pPr>
              <w:snapToGrid w:val="0"/>
              <w:spacing w:line="320" w:lineRule="exact"/>
              <w:jc w:val="center"/>
              <w:rPr>
                <w:rFonts w:ascii="方正仿宋_GBK" w:hAnsi="方正仿宋_GBK" w:cs="方正仿宋_GBK"/>
                <w:b/>
                <w:bCs/>
                <w:szCs w:val="32"/>
              </w:rPr>
            </w:pPr>
            <w:r>
              <w:rPr>
                <w:rFonts w:hint="eastAsia" w:ascii="方正仿宋_GBK" w:hAnsi="方正仿宋_GBK" w:cs="方正仿宋_GBK"/>
                <w:b/>
                <w:bCs/>
                <w:szCs w:val="32"/>
              </w:rPr>
              <w:t>委托项目</w:t>
            </w:r>
          </w:p>
        </w:tc>
        <w:tc>
          <w:tcPr>
            <w:tcW w:w="3343" w:type="dxa"/>
            <w:shd w:val="clear" w:color="000000" w:fill="FFFFFF"/>
            <w:noWrap/>
            <w:vAlign w:val="center"/>
          </w:tcPr>
          <w:p>
            <w:pPr>
              <w:snapToGrid w:val="0"/>
              <w:spacing w:line="320" w:lineRule="exact"/>
              <w:jc w:val="center"/>
              <w:rPr>
                <w:rFonts w:ascii="方正仿宋_GBK" w:hAnsi="方正仿宋_GBK" w:cs="方正仿宋_GBK"/>
                <w:b/>
                <w:bCs/>
                <w:szCs w:val="32"/>
              </w:rPr>
            </w:pPr>
            <w:r>
              <w:rPr>
                <w:rFonts w:hint="eastAsia" w:ascii="方正仿宋_GBK" w:hAnsi="方正仿宋_GBK" w:cs="方正仿宋_GBK"/>
                <w:b/>
                <w:bCs/>
                <w:szCs w:val="32"/>
              </w:rPr>
              <w:t>主要委托内容</w:t>
            </w:r>
          </w:p>
        </w:tc>
        <w:tc>
          <w:tcPr>
            <w:tcW w:w="1469" w:type="dxa"/>
            <w:shd w:val="clear" w:color="000000" w:fill="FFFFFF"/>
            <w:noWrap/>
            <w:vAlign w:val="center"/>
          </w:tcPr>
          <w:p>
            <w:pPr>
              <w:snapToGrid w:val="0"/>
              <w:spacing w:line="320" w:lineRule="exact"/>
              <w:jc w:val="center"/>
              <w:rPr>
                <w:rFonts w:ascii="方正仿宋_GBK" w:hAnsi="方正仿宋_GBK" w:cs="方正仿宋_GBK"/>
                <w:b/>
                <w:bCs/>
                <w:szCs w:val="32"/>
              </w:rPr>
            </w:pPr>
            <w:r>
              <w:rPr>
                <w:rFonts w:hint="eastAsia" w:ascii="方正仿宋_GBK" w:hAnsi="方正仿宋_GBK" w:cs="方正仿宋_GBK"/>
                <w:b/>
                <w:bCs/>
                <w:szCs w:val="32"/>
              </w:rPr>
              <w:t>数量</w:t>
            </w:r>
          </w:p>
        </w:tc>
        <w:tc>
          <w:tcPr>
            <w:tcW w:w="1272" w:type="dxa"/>
            <w:shd w:val="clear" w:color="000000" w:fill="FFFFFF"/>
            <w:noWrap/>
            <w:vAlign w:val="center"/>
          </w:tcPr>
          <w:p>
            <w:pPr>
              <w:snapToGrid w:val="0"/>
              <w:spacing w:line="320" w:lineRule="exact"/>
              <w:jc w:val="center"/>
              <w:rPr>
                <w:rFonts w:ascii="方正仿宋_GBK" w:hAnsi="方正仿宋_GBK" w:cs="方正仿宋_GBK"/>
                <w:b/>
                <w:bCs/>
                <w:szCs w:val="32"/>
              </w:rPr>
            </w:pPr>
            <w:r>
              <w:rPr>
                <w:rFonts w:hint="eastAsia" w:ascii="方正仿宋_GBK" w:hAnsi="方正仿宋_GBK" w:cs="方正仿宋_GBK"/>
                <w:b/>
                <w:bCs/>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922" w:type="dxa"/>
            <w:shd w:val="clear" w:color="000000" w:fill="FFFFFF"/>
            <w:noWrap/>
            <w:vAlign w:val="center"/>
          </w:tcPr>
          <w:p>
            <w:pPr>
              <w:snapToGrid w:val="0"/>
              <w:spacing w:line="320" w:lineRule="exact"/>
              <w:jc w:val="center"/>
              <w:rPr>
                <w:rFonts w:ascii="方正仿宋_GBK" w:hAnsi="方正仿宋_GBK" w:cs="方正仿宋_GBK"/>
                <w:sz w:val="28"/>
                <w:szCs w:val="28"/>
              </w:rPr>
            </w:pPr>
            <w:r>
              <w:rPr>
                <w:rFonts w:hint="eastAsia" w:ascii="方正仿宋_GBK" w:hAnsi="方正仿宋_GBK" w:cs="方正仿宋_GBK"/>
                <w:sz w:val="28"/>
                <w:szCs w:val="28"/>
              </w:rPr>
              <w:t>1</w:t>
            </w:r>
          </w:p>
        </w:tc>
        <w:tc>
          <w:tcPr>
            <w:tcW w:w="1945" w:type="dxa"/>
            <w:vMerge w:val="restart"/>
            <w:shd w:val="clear" w:color="000000" w:fill="FFFFFF"/>
            <w:noWrap/>
            <w:vAlign w:val="center"/>
          </w:tcPr>
          <w:p>
            <w:pPr>
              <w:snapToGrid w:val="0"/>
              <w:spacing w:line="320" w:lineRule="exact"/>
              <w:jc w:val="center"/>
              <w:rPr>
                <w:rFonts w:ascii="方正仿宋_GBK" w:hAnsi="方正仿宋_GBK" w:cs="方正仿宋_GBK"/>
                <w:sz w:val="28"/>
                <w:szCs w:val="28"/>
              </w:rPr>
            </w:pPr>
          </w:p>
          <w:p>
            <w:pPr>
              <w:snapToGrid w:val="0"/>
              <w:spacing w:line="320" w:lineRule="exact"/>
              <w:jc w:val="center"/>
              <w:rPr>
                <w:rFonts w:ascii="方正仿宋_GBK" w:hAnsi="方正仿宋_GBK" w:cs="方正仿宋_GBK"/>
                <w:sz w:val="28"/>
                <w:szCs w:val="28"/>
              </w:rPr>
            </w:pPr>
            <w:r>
              <w:rPr>
                <w:rFonts w:hint="eastAsia" w:ascii="方正仿宋_GBK" w:hAnsi="方正仿宋_GBK" w:cs="方正仿宋_GBK"/>
                <w:bCs/>
                <w:snapToGrid w:val="0"/>
                <w:sz w:val="28"/>
                <w:szCs w:val="28"/>
              </w:rPr>
              <w:t>西永站泊位溜槽技术改造项目</w:t>
            </w:r>
          </w:p>
        </w:tc>
        <w:tc>
          <w:tcPr>
            <w:tcW w:w="3343" w:type="dxa"/>
            <w:shd w:val="clear" w:color="000000" w:fill="FFFFFF"/>
            <w:noWrap/>
            <w:vAlign w:val="center"/>
          </w:tcPr>
          <w:p>
            <w:pPr>
              <w:snapToGrid w:val="0"/>
              <w:spacing w:line="320" w:lineRule="exact"/>
              <w:jc w:val="left"/>
              <w:rPr>
                <w:rFonts w:ascii="方正仿宋_GBK" w:hAnsi="方正仿宋_GBK" w:cs="方正仿宋_GBK"/>
                <w:sz w:val="28"/>
                <w:szCs w:val="28"/>
              </w:rPr>
            </w:pPr>
            <w:r>
              <w:rPr>
                <w:rFonts w:hint="eastAsia" w:ascii="方正仿宋_GBK" w:hAnsi="方正仿宋_GBK" w:cs="方正仿宋_GBK"/>
                <w:sz w:val="28"/>
                <w:szCs w:val="28"/>
              </w:rPr>
              <w:t>西永站复合溜槽技术改造</w:t>
            </w:r>
          </w:p>
        </w:tc>
        <w:tc>
          <w:tcPr>
            <w:tcW w:w="1469" w:type="dxa"/>
            <w:shd w:val="clear" w:color="000000" w:fill="FFFFFF"/>
            <w:noWrap/>
            <w:vAlign w:val="center"/>
          </w:tcPr>
          <w:p>
            <w:pPr>
              <w:snapToGrid w:val="0"/>
              <w:spacing w:line="320" w:lineRule="exact"/>
              <w:jc w:val="center"/>
              <w:rPr>
                <w:rFonts w:hint="default" w:ascii="方正仿宋_GBK" w:hAnsi="方正仿宋_GBK" w:eastAsia="方正仿宋_GBK" w:cs="方正仿宋_GBK"/>
                <w:sz w:val="28"/>
                <w:szCs w:val="28"/>
                <w:lang w:val="en-US" w:eastAsia="zh-CN"/>
              </w:rPr>
            </w:pPr>
            <w:r>
              <w:rPr>
                <w:rFonts w:hint="eastAsia" w:ascii="方正仿宋_GBK" w:hAnsi="方正仿宋_GBK" w:cs="方正仿宋_GBK"/>
                <w:sz w:val="28"/>
                <w:szCs w:val="28"/>
              </w:rPr>
              <w:t>2</w:t>
            </w:r>
            <w:r>
              <w:rPr>
                <w:rFonts w:hint="eastAsia" w:ascii="方正仿宋_GBK" w:hAnsi="方正仿宋_GBK" w:cs="方正仿宋_GBK"/>
                <w:sz w:val="28"/>
                <w:szCs w:val="28"/>
                <w:lang w:val="en-US" w:eastAsia="zh-CN"/>
              </w:rPr>
              <w:t>套</w:t>
            </w:r>
          </w:p>
        </w:tc>
        <w:tc>
          <w:tcPr>
            <w:tcW w:w="1272" w:type="dxa"/>
            <w:shd w:val="clear" w:color="000000" w:fill="FFFFFF"/>
            <w:noWrap/>
            <w:vAlign w:val="center"/>
          </w:tcPr>
          <w:p>
            <w:pPr>
              <w:snapToGrid w:val="0"/>
              <w:spacing w:line="320" w:lineRule="exact"/>
              <w:jc w:val="center"/>
              <w:rPr>
                <w:rFonts w:ascii="方正仿宋_GBK" w:hAnsi="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922" w:type="dxa"/>
            <w:shd w:val="clear" w:color="000000" w:fill="FFFFFF"/>
            <w:noWrap/>
            <w:vAlign w:val="center"/>
          </w:tcPr>
          <w:p>
            <w:pPr>
              <w:snapToGrid w:val="0"/>
              <w:spacing w:line="320" w:lineRule="exact"/>
              <w:jc w:val="center"/>
              <w:rPr>
                <w:rFonts w:ascii="方正仿宋_GBK" w:hAnsi="方正仿宋_GBK" w:cs="方正仿宋_GBK"/>
                <w:sz w:val="28"/>
                <w:szCs w:val="28"/>
              </w:rPr>
            </w:pPr>
            <w:r>
              <w:rPr>
                <w:rFonts w:hint="eastAsia" w:ascii="方正仿宋_GBK" w:hAnsi="方正仿宋_GBK" w:cs="方正仿宋_GBK"/>
                <w:sz w:val="28"/>
                <w:szCs w:val="28"/>
              </w:rPr>
              <w:t>2</w:t>
            </w:r>
          </w:p>
        </w:tc>
        <w:tc>
          <w:tcPr>
            <w:tcW w:w="1945" w:type="dxa"/>
            <w:vMerge w:val="continue"/>
            <w:shd w:val="clear" w:color="000000" w:fill="FFFFFF"/>
            <w:noWrap/>
            <w:vAlign w:val="center"/>
          </w:tcPr>
          <w:p>
            <w:pPr>
              <w:snapToGrid w:val="0"/>
              <w:spacing w:line="320" w:lineRule="exact"/>
              <w:jc w:val="center"/>
              <w:rPr>
                <w:rFonts w:ascii="方正仿宋_GBK" w:hAnsi="方正仿宋_GBK" w:cs="方正仿宋_GBK"/>
                <w:bCs/>
                <w:snapToGrid w:val="0"/>
                <w:sz w:val="28"/>
                <w:szCs w:val="28"/>
              </w:rPr>
            </w:pPr>
          </w:p>
        </w:tc>
        <w:tc>
          <w:tcPr>
            <w:tcW w:w="3343" w:type="dxa"/>
            <w:shd w:val="clear" w:color="000000" w:fill="FFFFFF"/>
            <w:noWrap/>
            <w:vAlign w:val="center"/>
          </w:tcPr>
          <w:p>
            <w:pPr>
              <w:snapToGrid w:val="0"/>
              <w:spacing w:line="320" w:lineRule="exact"/>
              <w:jc w:val="left"/>
              <w:rPr>
                <w:rFonts w:ascii="方正仿宋_GBK" w:hAnsi="方正仿宋_GBK" w:cs="方正仿宋_GBK"/>
                <w:sz w:val="28"/>
                <w:szCs w:val="28"/>
              </w:rPr>
            </w:pPr>
            <w:r>
              <w:rPr>
                <w:rFonts w:hint="eastAsia" w:ascii="方正仿宋_GBK" w:hAnsi="方正仿宋_GBK" w:cs="方正仿宋_GBK"/>
                <w:sz w:val="28"/>
                <w:szCs w:val="28"/>
              </w:rPr>
              <w:t>西永站生活垃圾溜槽技术改造</w:t>
            </w:r>
          </w:p>
        </w:tc>
        <w:tc>
          <w:tcPr>
            <w:tcW w:w="1469" w:type="dxa"/>
            <w:shd w:val="clear" w:color="000000" w:fill="FFFFFF"/>
            <w:noWrap/>
            <w:vAlign w:val="center"/>
          </w:tcPr>
          <w:p>
            <w:pPr>
              <w:snapToGrid w:val="0"/>
              <w:spacing w:line="320" w:lineRule="exact"/>
              <w:jc w:val="center"/>
              <w:rPr>
                <w:rFonts w:hint="eastAsia" w:ascii="方正仿宋_GBK" w:hAnsi="方正仿宋_GBK" w:eastAsia="方正仿宋_GBK" w:cs="方正仿宋_GBK"/>
                <w:sz w:val="28"/>
                <w:szCs w:val="28"/>
                <w:lang w:eastAsia="zh-CN"/>
              </w:rPr>
            </w:pPr>
            <w:r>
              <w:rPr>
                <w:rFonts w:hint="eastAsia" w:ascii="方正仿宋_GBK" w:hAnsi="方正仿宋_GBK" w:cs="方正仿宋_GBK"/>
                <w:sz w:val="28"/>
                <w:szCs w:val="28"/>
              </w:rPr>
              <w:t>2</w:t>
            </w:r>
            <w:r>
              <w:rPr>
                <w:rFonts w:hint="eastAsia" w:ascii="方正仿宋_GBK" w:hAnsi="方正仿宋_GBK" w:cs="方正仿宋_GBK"/>
                <w:sz w:val="28"/>
                <w:szCs w:val="28"/>
                <w:lang w:val="en-US" w:eastAsia="zh-CN"/>
              </w:rPr>
              <w:t>套</w:t>
            </w:r>
          </w:p>
        </w:tc>
        <w:tc>
          <w:tcPr>
            <w:tcW w:w="1272" w:type="dxa"/>
            <w:shd w:val="clear" w:color="000000" w:fill="FFFFFF"/>
            <w:noWrap/>
            <w:vAlign w:val="center"/>
          </w:tcPr>
          <w:p>
            <w:pPr>
              <w:snapToGrid w:val="0"/>
              <w:spacing w:line="320" w:lineRule="exact"/>
              <w:jc w:val="center"/>
              <w:rPr>
                <w:rFonts w:ascii="方正仿宋_GBK" w:hAnsi="方正仿宋_GBK" w:cs="方正仿宋_GBK"/>
                <w:sz w:val="28"/>
                <w:szCs w:val="28"/>
              </w:rPr>
            </w:pPr>
          </w:p>
        </w:tc>
      </w:tr>
    </w:tbl>
    <w:p>
      <w:pPr>
        <w:pStyle w:val="5"/>
        <w:keepNext w:val="0"/>
        <w:keepLines w:val="0"/>
        <w:kinsoku w:val="0"/>
        <w:overflowPunct w:val="0"/>
        <w:autoSpaceDE w:val="0"/>
        <w:autoSpaceDN w:val="0"/>
        <w:spacing w:line="560" w:lineRule="exact"/>
        <w:ind w:firstLine="640" w:firstLineChars="200"/>
        <w:rPr>
          <w:rFonts w:ascii="方正黑体_GBK" w:hAnsi="方正黑体_GBK" w:eastAsia="方正黑体_GBK" w:cs="方正黑体_GBK"/>
          <w:bCs/>
          <w:szCs w:val="32"/>
        </w:rPr>
      </w:pPr>
      <w:bookmarkStart w:id="0" w:name="_Toc22436"/>
      <w:bookmarkStart w:id="1" w:name="_Toc441589315"/>
      <w:bookmarkStart w:id="2" w:name="_Toc8357"/>
      <w:bookmarkStart w:id="3" w:name="_Toc267320050"/>
      <w:r>
        <w:rPr>
          <w:rFonts w:hint="eastAsia" w:ascii="方正黑体_GBK" w:hAnsi="方正黑体_GBK" w:eastAsia="方正黑体_GBK" w:cs="方正黑体_GBK"/>
          <w:bCs/>
          <w:szCs w:val="32"/>
        </w:rPr>
        <w:t>二、报价要求</w:t>
      </w:r>
      <w:bookmarkEnd w:id="0"/>
      <w:bookmarkEnd w:id="1"/>
      <w:bookmarkEnd w:id="2"/>
    </w:p>
    <w:bookmarkEnd w:id="3"/>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 xml:space="preserve">1、竞选报价为：委托项目费+ 相关费用 </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2、本次报价须为人民币报价。</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3、相关费用：包括但不限于原溜槽拆除、保险费、包装费、运输费、试运行费、质保期（含质保期内所有服务、随机通用、专用工具包等）、装卸费、易损件、利润、增值税、疫情防控费等相关工作所需的一切费用。</w:t>
      </w:r>
    </w:p>
    <w:p>
      <w:pPr>
        <w:pStyle w:val="5"/>
        <w:keepNext w:val="0"/>
        <w:keepLines w:val="0"/>
        <w:kinsoku w:val="0"/>
        <w:overflowPunct w:val="0"/>
        <w:autoSpaceDE w:val="0"/>
        <w:autoSpaceDN w:val="0"/>
        <w:spacing w:line="56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三、质量保证及售后服务</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1.竞选人所供服务的质保期从最终验收合格之日起计算，时间不低于12个月。</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2.在质保期内，竞选人应负责所供设备因质量问题原因的维修、更换，承担由此产生的维修费用和配件费用（人为损坏除外），并于4小时内到达现场修复缺陷、解决问题。</w:t>
      </w:r>
    </w:p>
    <w:p>
      <w:pPr>
        <w:pStyle w:val="5"/>
        <w:keepNext w:val="0"/>
        <w:keepLines w:val="0"/>
        <w:kinsoku w:val="0"/>
        <w:overflowPunct w:val="0"/>
        <w:autoSpaceDE w:val="0"/>
        <w:autoSpaceDN w:val="0"/>
        <w:spacing w:line="56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四、付款方式</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1.付款方式：以转账方式进行支付。</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2.竞选人完成委托服务，经最终验收合格，且按采购人要求办理完结算手续后，采购人支付至合同结算金额的95%给竞选人，剩余5%作为质保金，质保期满后1个月内退还（不计息）。</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3.竞选人需提供以下资料：</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A:支付申请；</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B:双方签字确认的验收报告资料；</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C:经审核签字盖章手续完善的结算单；</w:t>
      </w:r>
    </w:p>
    <w:p>
      <w:pPr>
        <w:pStyle w:val="5"/>
        <w:keepNext w:val="0"/>
        <w:keepLines w:val="0"/>
        <w:kinsoku w:val="0"/>
        <w:overflowPunct w:val="0"/>
        <w:autoSpaceDE w:val="0"/>
        <w:autoSpaceDN w:val="0"/>
        <w:spacing w:line="560" w:lineRule="exact"/>
        <w:ind w:firstLine="640" w:firstLineChars="200"/>
        <w:rPr>
          <w:rFonts w:ascii="方正仿宋_GBK" w:cs="宋体"/>
        </w:rPr>
      </w:pPr>
      <w:r>
        <w:rPr>
          <w:rFonts w:hint="eastAsia" w:ascii="方正仿宋_GBK" w:cs="宋体"/>
        </w:rPr>
        <w:t>D:提供满足税法规定的完备的增值税专用发票；</w:t>
      </w:r>
    </w:p>
    <w:p>
      <w:pPr>
        <w:pStyle w:val="5"/>
        <w:keepNext w:val="0"/>
        <w:keepLines w:val="0"/>
        <w:kinsoku w:val="0"/>
        <w:overflowPunct w:val="0"/>
        <w:autoSpaceDE w:val="0"/>
        <w:autoSpaceDN w:val="0"/>
        <w:spacing w:line="560" w:lineRule="exact"/>
        <w:ind w:firstLine="640" w:firstLineChars="200"/>
        <w:rPr>
          <w:rFonts w:cs="宋体"/>
          <w:kern w:val="0"/>
          <w:szCs w:val="32"/>
        </w:rPr>
      </w:pPr>
      <w:r>
        <w:rPr>
          <w:rFonts w:hint="eastAsia" w:ascii="方正黑体_GBK" w:hAnsi="方正黑体_GBK" w:eastAsia="方正黑体_GBK" w:cs="方正黑体_GBK"/>
          <w:bCs/>
          <w:szCs w:val="32"/>
        </w:rPr>
        <w:t>五、方案评审标准</w:t>
      </w:r>
    </w:p>
    <w:p>
      <w:pPr>
        <w:spacing w:line="560" w:lineRule="exact"/>
        <w:ind w:firstLine="640" w:firstLineChars="200"/>
        <w:rPr>
          <w:rFonts w:cs="宋体"/>
          <w:kern w:val="0"/>
          <w:szCs w:val="32"/>
        </w:rPr>
      </w:pPr>
      <w:r>
        <w:rPr>
          <w:rFonts w:hint="eastAsia" w:ascii="方正仿宋_GBK" w:hAnsi="宋体" w:cs="宋体"/>
        </w:rPr>
        <w:t>（一）竞选人所投产品在全国范围内的类似货物销售业绩，从 2018年1月1日（以合同签订时间为准）至竞价截止日止与本次采购货物类</w:t>
      </w:r>
      <w:r>
        <w:rPr>
          <w:rFonts w:hint="eastAsia" w:cs="宋体"/>
          <w:kern w:val="0"/>
          <w:szCs w:val="32"/>
        </w:rPr>
        <w:t>似业绩实际销售数量排序，排名第一的得</w:t>
      </w:r>
      <w:r>
        <w:rPr>
          <w:rFonts w:cs="宋体"/>
          <w:kern w:val="0"/>
          <w:szCs w:val="32"/>
        </w:rPr>
        <w:t>2</w:t>
      </w:r>
      <w:r>
        <w:rPr>
          <w:rFonts w:hint="eastAsia" w:cs="宋体"/>
          <w:kern w:val="0"/>
          <w:szCs w:val="32"/>
        </w:rPr>
        <w:t>0分，依次递减</w:t>
      </w:r>
      <w:r>
        <w:rPr>
          <w:rFonts w:cs="宋体"/>
          <w:kern w:val="0"/>
          <w:szCs w:val="32"/>
        </w:rPr>
        <w:t>2</w:t>
      </w:r>
      <w:r>
        <w:rPr>
          <w:rFonts w:hint="eastAsia" w:cs="宋体"/>
          <w:kern w:val="0"/>
          <w:szCs w:val="32"/>
        </w:rPr>
        <w:t>分，减完为止。注：竞选人需提供业绩数量统计表，每一项业绩需提供合同相关资料并加盖竞选人公章。</w:t>
      </w:r>
    </w:p>
    <w:p>
      <w:pPr>
        <w:spacing w:line="560" w:lineRule="exact"/>
        <w:ind w:firstLine="640" w:firstLineChars="200"/>
        <w:rPr>
          <w:rFonts w:hint="default" w:cs="宋体"/>
          <w:kern w:val="0"/>
          <w:szCs w:val="32"/>
          <w:lang w:val="en-US" w:eastAsia="zh-CN"/>
        </w:rPr>
      </w:pPr>
      <w:r>
        <w:rPr>
          <w:rFonts w:hint="eastAsia" w:cs="宋体"/>
          <w:kern w:val="0"/>
          <w:szCs w:val="32"/>
        </w:rPr>
        <w:t>（二）竞选人</w:t>
      </w:r>
      <w:r>
        <w:rPr>
          <w:rFonts w:hint="eastAsia" w:cs="宋体"/>
          <w:kern w:val="0"/>
          <w:szCs w:val="32"/>
          <w:lang w:val="en-US" w:eastAsia="zh-CN"/>
        </w:rPr>
        <w:t>应充分了解西永站竖式垃圾压缩系统生产工艺，考虑前端重车垃圾卸料产生的冲击力、溜槽使用频次及使用年限要求等因素结合西永站现场实际情况，</w:t>
      </w:r>
      <w:r>
        <w:rPr>
          <w:rFonts w:hint="eastAsia" w:cs="宋体"/>
          <w:kern w:val="0"/>
          <w:szCs w:val="32"/>
        </w:rPr>
        <w:t>编制详细</w:t>
      </w:r>
      <w:r>
        <w:rPr>
          <w:rFonts w:hint="eastAsia" w:cs="宋体"/>
          <w:kern w:val="0"/>
          <w:szCs w:val="32"/>
          <w:lang w:val="en-US" w:eastAsia="zh-CN"/>
        </w:rPr>
        <w:t>溜槽设计方案，包括但不限于溜槽材质、防腐工艺、尺寸参数、创新优点等。设计方案优的得40-30分，良的得29-20分，一般的得19-10分，未提供溜槽设计方案或编制内容差的不得分。</w:t>
      </w:r>
    </w:p>
    <w:p>
      <w:pPr>
        <w:spacing w:line="560" w:lineRule="exact"/>
        <w:ind w:firstLine="640" w:firstLineChars="200"/>
        <w:rPr>
          <w:rFonts w:cs="宋体"/>
          <w:kern w:val="0"/>
          <w:szCs w:val="32"/>
        </w:rPr>
      </w:pPr>
      <w:r>
        <w:rPr>
          <w:rFonts w:hint="eastAsia" w:cs="宋体"/>
          <w:kern w:val="0"/>
          <w:szCs w:val="32"/>
          <w:lang w:val="en-US" w:eastAsia="zh-CN"/>
        </w:rPr>
        <w:t>（三）竞选人应编制详细</w:t>
      </w:r>
      <w:r>
        <w:rPr>
          <w:rFonts w:hint="eastAsia" w:cs="宋体"/>
          <w:kern w:val="0"/>
          <w:szCs w:val="32"/>
        </w:rPr>
        <w:t xml:space="preserve">售后服务承诺，包括但不限于质保期内的服务、使用操作、保养与维护、安全规则、处理常见故障、质保期限的承诺等内容进行评分，优的得 </w:t>
      </w:r>
      <w:r>
        <w:rPr>
          <w:rFonts w:hint="eastAsia" w:cs="宋体"/>
          <w:kern w:val="0"/>
          <w:szCs w:val="32"/>
          <w:lang w:val="en-US" w:eastAsia="zh-CN"/>
        </w:rPr>
        <w:t>20-15</w:t>
      </w:r>
      <w:r>
        <w:rPr>
          <w:rFonts w:hint="eastAsia" w:cs="宋体"/>
          <w:kern w:val="0"/>
          <w:szCs w:val="32"/>
        </w:rPr>
        <w:t>分，</w:t>
      </w:r>
      <w:r>
        <w:rPr>
          <w:rFonts w:hint="eastAsia" w:cs="宋体"/>
          <w:kern w:val="0"/>
          <w:szCs w:val="32"/>
          <w:lang w:val="en-US" w:eastAsia="zh-CN"/>
        </w:rPr>
        <w:t>良的得14-10分，一般的得9-5分，未提供售后服务承诺或编制内容差的不得分</w:t>
      </w:r>
      <w:r>
        <w:rPr>
          <w:rFonts w:hint="eastAsia" w:cs="宋体"/>
          <w:kern w:val="0"/>
          <w:szCs w:val="32"/>
        </w:rPr>
        <w:t>。</w:t>
      </w:r>
    </w:p>
    <w:p>
      <w:pPr>
        <w:spacing w:line="560" w:lineRule="exact"/>
        <w:ind w:firstLine="640" w:firstLineChars="200"/>
        <w:rPr>
          <w:rFonts w:cs="宋体"/>
          <w:kern w:val="0"/>
          <w:szCs w:val="32"/>
        </w:rPr>
      </w:pPr>
      <w:r>
        <w:rPr>
          <w:rFonts w:hint="eastAsia" w:cs="宋体"/>
          <w:kern w:val="0"/>
          <w:szCs w:val="32"/>
        </w:rPr>
        <w:t>（</w:t>
      </w:r>
      <w:r>
        <w:rPr>
          <w:rFonts w:hint="eastAsia" w:cs="宋体"/>
          <w:kern w:val="0"/>
          <w:szCs w:val="32"/>
          <w:lang w:eastAsia="zh-CN"/>
        </w:rPr>
        <w:t>四</w:t>
      </w:r>
      <w:r>
        <w:rPr>
          <w:rFonts w:hint="eastAsia" w:cs="宋体"/>
          <w:kern w:val="0"/>
          <w:szCs w:val="32"/>
        </w:rPr>
        <w:t>）竞选人所投产品的质保期最长的得</w:t>
      </w:r>
      <w:r>
        <w:rPr>
          <w:rFonts w:hint="eastAsia" w:cs="宋体"/>
          <w:kern w:val="0"/>
          <w:szCs w:val="32"/>
          <w:lang w:val="en-US" w:eastAsia="zh-CN"/>
        </w:rPr>
        <w:t>2</w:t>
      </w:r>
      <w:r>
        <w:rPr>
          <w:rFonts w:hint="eastAsia" w:cs="宋体"/>
          <w:kern w:val="0"/>
          <w:szCs w:val="32"/>
        </w:rPr>
        <w:t>0分，依次减</w:t>
      </w:r>
      <w:r>
        <w:rPr>
          <w:rFonts w:hint="eastAsia" w:cs="宋体"/>
          <w:kern w:val="0"/>
          <w:szCs w:val="32"/>
          <w:lang w:val="en-US" w:eastAsia="zh-CN"/>
        </w:rPr>
        <w:t>2</w:t>
      </w:r>
      <w:r>
        <w:rPr>
          <w:rFonts w:hint="eastAsia" w:cs="宋体"/>
          <w:kern w:val="0"/>
          <w:szCs w:val="32"/>
        </w:rPr>
        <w:t>分，减完为止。</w:t>
      </w:r>
    </w:p>
    <w:p>
      <w:pPr>
        <w:pStyle w:val="3"/>
        <w:adjustRightInd w:val="0"/>
        <w:snapToGrid w:val="0"/>
        <w:spacing w:line="240" w:lineRule="auto"/>
        <w:ind w:firstLine="0"/>
        <w:rPr>
          <w:rFonts w:cs="宋体"/>
          <w:b w:val="0"/>
          <w:bCs w:val="0"/>
          <w:sz w:val="32"/>
          <w:szCs w:val="32"/>
        </w:rPr>
      </w:pPr>
      <w:r>
        <w:rPr>
          <w:rFonts w:hint="eastAsia" w:cs="宋体"/>
          <w:sz w:val="32"/>
          <w:szCs w:val="32"/>
        </w:rPr>
        <w:t>二、方案技术要求</w:t>
      </w:r>
    </w:p>
    <w:tbl>
      <w:tblPr>
        <w:tblStyle w:val="10"/>
        <w:tblpPr w:leftFromText="180" w:rightFromText="180" w:vertAnchor="text" w:horzAnchor="page" w:tblpXSpec="center" w:tblpY="703"/>
        <w:tblOverlap w:val="never"/>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4195"/>
        <w:gridCol w:w="2335"/>
        <w:gridCol w:w="1184"/>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kern w:val="2"/>
                <w:sz w:val="24"/>
                <w:szCs w:val="24"/>
              </w:rPr>
            </w:pPr>
            <w:r>
              <w:rPr>
                <w:rFonts w:hint="eastAsia" w:ascii="方正仿宋_GBK" w:hAnsi="Calibri" w:eastAsia="方正仿宋_GBK" w:cs="方正仿宋_GBK"/>
                <w:kern w:val="2"/>
                <w:sz w:val="24"/>
                <w:szCs w:val="24"/>
              </w:rPr>
              <w:t>序号</w:t>
            </w:r>
          </w:p>
        </w:tc>
        <w:tc>
          <w:tcPr>
            <w:tcW w:w="4195" w:type="dxa"/>
            <w:vAlign w:val="center"/>
          </w:tcPr>
          <w:p>
            <w:pPr>
              <w:pStyle w:val="4"/>
              <w:spacing w:before="0" w:after="0" w:line="240" w:lineRule="exact"/>
              <w:jc w:val="left"/>
              <w:outlineLvl w:val="0"/>
              <w:rPr>
                <w:rFonts w:ascii="方正仿宋_GBK" w:hAnsi="Calibri" w:eastAsia="方正仿宋_GBK" w:cs="方正仿宋_GBK"/>
                <w:kern w:val="2"/>
                <w:sz w:val="24"/>
                <w:szCs w:val="24"/>
              </w:rPr>
            </w:pPr>
            <w:r>
              <w:rPr>
                <w:rFonts w:hint="eastAsia" w:ascii="方正仿宋_GBK" w:hAnsi="Calibri" w:eastAsia="方正仿宋_GBK" w:cs="方正仿宋_GBK"/>
                <w:kern w:val="2"/>
                <w:sz w:val="24"/>
                <w:szCs w:val="24"/>
              </w:rPr>
              <w:t>方案要求的技术条件</w:t>
            </w:r>
          </w:p>
        </w:tc>
        <w:tc>
          <w:tcPr>
            <w:tcW w:w="2335" w:type="dxa"/>
            <w:vAlign w:val="center"/>
          </w:tcPr>
          <w:p>
            <w:pPr>
              <w:pStyle w:val="4"/>
              <w:spacing w:before="0" w:after="0" w:line="240" w:lineRule="exact"/>
              <w:jc w:val="center"/>
              <w:outlineLvl w:val="0"/>
              <w:rPr>
                <w:rFonts w:ascii="方正仿宋_GBK" w:hAnsi="Calibri" w:eastAsia="方正仿宋_GBK" w:cs="方正仿宋_GBK"/>
                <w:kern w:val="2"/>
                <w:sz w:val="24"/>
                <w:szCs w:val="24"/>
              </w:rPr>
            </w:pPr>
            <w:r>
              <w:rPr>
                <w:rFonts w:hint="eastAsia" w:ascii="方正仿宋_GBK" w:hAnsi="Calibri" w:eastAsia="方正仿宋_GBK" w:cs="方正仿宋_GBK"/>
                <w:kern w:val="2"/>
                <w:sz w:val="24"/>
                <w:szCs w:val="24"/>
              </w:rPr>
              <w:t>竞选人响应的技术条件</w:t>
            </w:r>
          </w:p>
        </w:tc>
        <w:tc>
          <w:tcPr>
            <w:tcW w:w="1184" w:type="dxa"/>
            <w:vAlign w:val="center"/>
          </w:tcPr>
          <w:p>
            <w:pPr>
              <w:pStyle w:val="4"/>
              <w:spacing w:before="0" w:after="0" w:line="240" w:lineRule="exact"/>
              <w:jc w:val="center"/>
              <w:outlineLvl w:val="0"/>
              <w:rPr>
                <w:rFonts w:ascii="方正仿宋_GBK" w:hAnsi="Calibri" w:eastAsia="方正仿宋_GBK" w:cs="方正仿宋_GBK"/>
                <w:kern w:val="2"/>
                <w:sz w:val="24"/>
                <w:szCs w:val="24"/>
              </w:rPr>
            </w:pPr>
            <w:r>
              <w:rPr>
                <w:rFonts w:hint="eastAsia" w:ascii="方正仿宋_GBK" w:hAnsi="Calibri" w:eastAsia="方正仿宋_GBK" w:cs="方正仿宋_GBK"/>
                <w:kern w:val="2"/>
                <w:sz w:val="24"/>
                <w:szCs w:val="24"/>
              </w:rPr>
              <w:t>正偏离或符合</w:t>
            </w:r>
          </w:p>
        </w:tc>
        <w:tc>
          <w:tcPr>
            <w:tcW w:w="1925" w:type="dxa"/>
            <w:vAlign w:val="center"/>
          </w:tcPr>
          <w:p>
            <w:pPr>
              <w:pStyle w:val="4"/>
              <w:spacing w:before="0" w:after="0" w:line="240" w:lineRule="exact"/>
              <w:jc w:val="center"/>
              <w:outlineLvl w:val="0"/>
              <w:rPr>
                <w:rFonts w:ascii="方正仿宋_GBK" w:hAnsi="Calibri" w:eastAsia="方正仿宋_GBK" w:cs="方正仿宋_GBK"/>
                <w:kern w:val="2"/>
                <w:sz w:val="24"/>
                <w:szCs w:val="24"/>
              </w:rPr>
            </w:pPr>
            <w:r>
              <w:rPr>
                <w:rFonts w:hint="eastAsia" w:ascii="方正仿宋_GBK" w:hAnsi="Calibri" w:eastAsia="方正仿宋_GBK" w:cs="方正仿宋_GBK"/>
                <w:kern w:val="2"/>
                <w:sz w:val="24"/>
                <w:szCs w:val="24"/>
              </w:rPr>
              <w:t>备注</w:t>
            </w:r>
          </w:p>
          <w:p>
            <w:pPr>
              <w:pStyle w:val="4"/>
              <w:spacing w:before="0" w:after="0" w:line="240" w:lineRule="exact"/>
              <w:jc w:val="left"/>
              <w:outlineLvl w:val="0"/>
              <w:rPr>
                <w:rFonts w:ascii="方正仿宋_GBK" w:hAnsi="Calibri" w:eastAsia="方正仿宋_GBK" w:cs="方正仿宋_GBK"/>
                <w:kern w:val="2"/>
                <w:sz w:val="24"/>
                <w:szCs w:val="24"/>
              </w:rPr>
            </w:pPr>
            <w:r>
              <w:rPr>
                <w:rFonts w:hint="eastAsia" w:ascii="方正仿宋_GBK" w:hAnsi="Calibri" w:eastAsia="方正仿宋_GBK" w:cs="方正仿宋_GBK"/>
                <w:kern w:val="2"/>
                <w:sz w:val="24"/>
                <w:szCs w:val="24"/>
              </w:rPr>
              <w:t>（正偏离说明）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041" w:type="dxa"/>
            <w:gridSpan w:val="2"/>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（一）通用技术要求</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复合溜槽与生活垃圾溜槽应满足全部技术要求，满足西永现有钢结构及竖式压缩设备。满足现有生活垃圾容器及餐厨容器接料。</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041" w:type="dxa"/>
            <w:gridSpan w:val="2"/>
            <w:vAlign w:val="center"/>
          </w:tcPr>
          <w:p>
            <w:pPr>
              <w:pStyle w:val="4"/>
              <w:spacing w:before="0" w:after="0" w:line="240" w:lineRule="exact"/>
              <w:jc w:val="left"/>
              <w:outlineLvl w:val="0"/>
              <w:rPr>
                <w:rFonts w:ascii="方正仿宋_GBK" w:hAnsi="仿宋" w:eastAsia="方正仿宋_GBK"/>
                <w:b w:val="0"/>
                <w:sz w:val="24"/>
                <w:szCs w:val="24"/>
              </w:rPr>
            </w:pPr>
            <w:r>
              <w:rPr>
                <w:rFonts w:hint="eastAsia" w:ascii="方正仿宋_GBK" w:hAnsi="Calibri" w:eastAsia="方正仿宋_GBK" w:cs="方正仿宋_GBK"/>
                <w:b w:val="0"/>
                <w:bCs w:val="0"/>
                <w:kern w:val="2"/>
                <w:sz w:val="24"/>
                <w:szCs w:val="24"/>
              </w:rPr>
              <w:t>2设备</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2.1</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溜槽</w:t>
            </w:r>
            <w:r>
              <w:rPr>
                <w:rFonts w:hint="eastAsia" w:ascii="方正仿宋_GBK" w:hAnsi="仿宋" w:eastAsia="方正仿宋_GBK"/>
                <w:b w:val="0"/>
                <w:sz w:val="24"/>
                <w:szCs w:val="24"/>
              </w:rPr>
              <w:t>整体造型应美观、无毛刺、飞边、划伤、裂痕、凹陷等缺陷。</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2.2</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sz w:val="24"/>
                <w:szCs w:val="24"/>
              </w:rPr>
              <w:t>溜槽运行平稳可靠，维修更换应简单、方便，且耐磨性、耐腐蚀性好。</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w:t>
            </w:r>
            <w:r>
              <w:rPr>
                <w:rFonts w:ascii="方正仿宋_GBK" w:hAnsi="Calibri" w:eastAsia="方正仿宋_GBK" w:cs="方正仿宋_GBK"/>
                <w:b w:val="0"/>
                <w:bCs w:val="0"/>
                <w:kern w:val="2"/>
                <w:sz w:val="24"/>
                <w:szCs w:val="24"/>
              </w:rPr>
              <w:t>3</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sz w:val="24"/>
                <w:szCs w:val="24"/>
              </w:rPr>
              <w:t>所有焊接件的焊缝应符合GBT8110、焊缝质量按GB/T12469 I级标准执行，必须保证焊缝质量</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w:t>
            </w:r>
            <w:r>
              <w:rPr>
                <w:rFonts w:ascii="方正仿宋_GBK" w:hAnsi="Calibri" w:eastAsia="方正仿宋_GBK" w:cs="方正仿宋_GBK"/>
                <w:b w:val="0"/>
                <w:bCs w:val="0"/>
                <w:kern w:val="2"/>
                <w:sz w:val="24"/>
                <w:szCs w:val="24"/>
              </w:rPr>
              <w:t>4</w:t>
            </w:r>
          </w:p>
        </w:tc>
        <w:tc>
          <w:tcPr>
            <w:tcW w:w="4195" w:type="dxa"/>
            <w:vAlign w:val="center"/>
          </w:tcPr>
          <w:p>
            <w:pPr>
              <w:pStyle w:val="4"/>
              <w:spacing w:before="0" w:after="0" w:line="240" w:lineRule="exact"/>
              <w:jc w:val="left"/>
              <w:outlineLvl w:val="0"/>
              <w:rPr>
                <w:rFonts w:ascii="方正仿宋_GBK" w:hAnsi="仿宋" w:eastAsia="方正仿宋_GBK"/>
                <w:b w:val="0"/>
                <w:sz w:val="24"/>
                <w:szCs w:val="24"/>
              </w:rPr>
            </w:pPr>
            <w:r>
              <w:rPr>
                <w:rFonts w:hint="eastAsia" w:ascii="方正仿宋_GBK" w:hAnsi="仿宋" w:eastAsia="方正仿宋_GBK"/>
                <w:b w:val="0"/>
                <w:sz w:val="24"/>
                <w:szCs w:val="24"/>
              </w:rPr>
              <w:t>在正常使用及维护下，溜槽</w:t>
            </w:r>
            <w:r>
              <w:rPr>
                <w:rFonts w:hint="eastAsia" w:ascii="方正仿宋_GBK" w:hAnsi="仿宋" w:eastAsia="方正仿宋_GBK"/>
                <w:b w:val="0"/>
                <w:sz w:val="24"/>
                <w:szCs w:val="24"/>
                <w:lang w:val="en-US" w:eastAsia="zh-CN"/>
              </w:rPr>
              <w:t>主体</w:t>
            </w:r>
            <w:bookmarkStart w:id="4" w:name="_GoBack"/>
            <w:bookmarkEnd w:id="4"/>
            <w:r>
              <w:rPr>
                <w:rFonts w:hint="eastAsia" w:ascii="方正仿宋_GBK" w:hAnsi="仿宋" w:eastAsia="方正仿宋_GBK"/>
                <w:b w:val="0"/>
                <w:sz w:val="24"/>
                <w:szCs w:val="24"/>
              </w:rPr>
              <w:t>的使用寿命不少于</w:t>
            </w:r>
            <w:r>
              <w:rPr>
                <w:rFonts w:hint="eastAsia" w:ascii="方正仿宋_GBK" w:hAnsi="仿宋" w:eastAsia="方正仿宋_GBK"/>
                <w:b w:val="0"/>
                <w:sz w:val="24"/>
                <w:szCs w:val="24"/>
                <w:lang w:val="en-US" w:eastAsia="zh-CN"/>
              </w:rPr>
              <w:t>6</w:t>
            </w:r>
            <w:r>
              <w:rPr>
                <w:rFonts w:hint="eastAsia" w:ascii="方正仿宋_GBK" w:hAnsi="仿宋" w:eastAsia="方正仿宋_GBK"/>
                <w:b w:val="0"/>
                <w:sz w:val="24"/>
                <w:szCs w:val="24"/>
              </w:rPr>
              <w:t>年。竞选人须用表格形式明确主要材料的材质、厚度、耐用、防腐工艺及措施。</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5041" w:type="dxa"/>
            <w:gridSpan w:val="2"/>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3.工具与技术文件</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3.1</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产品交付时应有但不限于备件清单、技术文件、专用工具及维修包等清单。</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3.2</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仿宋" w:eastAsia="方正仿宋_GBK"/>
                <w:b w:val="0"/>
                <w:kern w:val="2"/>
                <w:sz w:val="24"/>
                <w:szCs w:val="24"/>
              </w:rPr>
              <w:t>技术文件含产品合格证、材质检测报告、零部件的图纸资料、零配件清单（含规格、型号、数量、产地等内容）。在竞选文件中用表格列出明细并提供电子版。</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5041" w:type="dxa"/>
            <w:gridSpan w:val="2"/>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4.验收</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w:t>
            </w:r>
          </w:p>
        </w:tc>
        <w:tc>
          <w:tcPr>
            <w:tcW w:w="4195" w:type="dxa"/>
            <w:vAlign w:val="center"/>
          </w:tcPr>
          <w:p>
            <w:pPr>
              <w:pStyle w:val="6"/>
              <w:tabs>
                <w:tab w:val="left" w:pos="-8"/>
              </w:tabs>
              <w:adjustRightInd w:val="0"/>
              <w:snapToGrid w:val="0"/>
              <w:spacing w:line="240" w:lineRule="exact"/>
              <w:ind w:left="0" w:leftChars="0"/>
              <w:rPr>
                <w:rFonts w:ascii="方正仿宋_GBK" w:hAnsi="仿宋"/>
                <w:sz w:val="24"/>
                <w:szCs w:val="24"/>
              </w:rPr>
            </w:pPr>
            <w:r>
              <w:rPr>
                <w:rFonts w:hint="eastAsia" w:ascii="方正仿宋_GBK" w:hAnsi="仿宋"/>
                <w:sz w:val="24"/>
                <w:szCs w:val="24"/>
              </w:rPr>
              <w:t>到货与安装</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4.2.1</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备件到货前，由采购人通知竞选人，约定交货验收的时间和地点，由采购人和竞选人按合同及招竞选文件要求，对所到货数量、尺寸等进行到货验收，验货合格，经相关人员签字确认后，即到货验收合格。</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4.2.2</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仿宋" w:eastAsia="方正仿宋_GBK"/>
                <w:b w:val="0"/>
                <w:kern w:val="2"/>
                <w:sz w:val="24"/>
                <w:szCs w:val="24"/>
              </w:rPr>
              <w:t>竞选人应在交货时向采购人提供技术文件、产品生产过程检验报告复印件、外购件清单及参数表及质量证明文件等，资料及证书等应齐全。</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4.2.3</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Calibri" w:eastAsia="方正仿宋_GBK" w:cs="方正仿宋_GBK"/>
                <w:b w:val="0"/>
                <w:bCs w:val="0"/>
                <w:kern w:val="2"/>
                <w:sz w:val="24"/>
                <w:szCs w:val="24"/>
              </w:rPr>
              <w:t>设备安装调试</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4.2.4</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仿宋" w:eastAsia="方正仿宋_GBK"/>
                <w:b w:val="0"/>
                <w:kern w:val="2"/>
                <w:sz w:val="24"/>
                <w:szCs w:val="24"/>
              </w:rPr>
              <w:t>设备到货后经到货验收合格后方能进行安装调试，安装调试前由竞选人需将原有2套复合溜槽、2套生活垃圾溜槽拆除并放置于采购人站内指定地点。</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highlight w:val="none"/>
              </w:rPr>
            </w:pPr>
            <w:r>
              <w:rPr>
                <w:rFonts w:hint="eastAsia" w:ascii="方正仿宋_GBK" w:hAnsi="Calibri" w:eastAsia="方正仿宋_GBK" w:cs="方正仿宋_GBK"/>
                <w:b w:val="0"/>
                <w:bCs w:val="0"/>
                <w:kern w:val="2"/>
                <w:sz w:val="24"/>
                <w:szCs w:val="24"/>
                <w:highlight w:val="none"/>
              </w:rPr>
              <w:t>4.2.5</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highlight w:val="none"/>
              </w:rPr>
            </w:pPr>
            <w:r>
              <w:rPr>
                <w:rFonts w:hint="eastAsia" w:ascii="方正仿宋_GBK" w:hAnsi="仿宋" w:eastAsia="方正仿宋_GBK"/>
                <w:b w:val="0"/>
                <w:kern w:val="2"/>
                <w:sz w:val="24"/>
                <w:szCs w:val="24"/>
                <w:highlight w:val="none"/>
              </w:rPr>
              <w:t>在设备的安装与调试过程中，由竞选人人负责安装。</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4.2.6</w:t>
            </w:r>
          </w:p>
        </w:tc>
        <w:tc>
          <w:tcPr>
            <w:tcW w:w="4195" w:type="dxa"/>
            <w:vAlign w:val="center"/>
          </w:tcPr>
          <w:p>
            <w:pPr>
              <w:pStyle w:val="6"/>
              <w:tabs>
                <w:tab w:val="left" w:pos="-8"/>
              </w:tabs>
              <w:adjustRightInd w:val="0"/>
              <w:snapToGrid w:val="0"/>
              <w:spacing w:line="240" w:lineRule="exact"/>
              <w:ind w:left="0" w:leftChars="0"/>
              <w:jc w:val="left"/>
              <w:rPr>
                <w:rFonts w:ascii="方正仿宋_GBK" w:hAnsi="仿宋"/>
                <w:sz w:val="24"/>
                <w:szCs w:val="24"/>
              </w:rPr>
            </w:pPr>
            <w:r>
              <w:rPr>
                <w:rFonts w:hint="eastAsia" w:ascii="方正仿宋_GBK" w:hAnsi="仿宋"/>
                <w:sz w:val="24"/>
                <w:szCs w:val="24"/>
              </w:rPr>
              <w:t>试运行：试运行前检查合格后方可进行试运行。试运行按以下要求进行。</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4.2.7</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仿宋" w:eastAsia="方正仿宋_GBK"/>
                <w:b w:val="0"/>
                <w:kern w:val="2"/>
                <w:sz w:val="24"/>
                <w:szCs w:val="24"/>
              </w:rPr>
              <w:t>试运行时间为</w:t>
            </w:r>
            <w:r>
              <w:rPr>
                <w:rFonts w:ascii="方正仿宋_GBK" w:hAnsi="仿宋" w:eastAsia="方正仿宋_GBK"/>
                <w:b w:val="0"/>
                <w:kern w:val="2"/>
                <w:sz w:val="24"/>
                <w:szCs w:val="24"/>
              </w:rPr>
              <w:t>1</w:t>
            </w:r>
            <w:r>
              <w:rPr>
                <w:rFonts w:hint="eastAsia" w:ascii="方正仿宋_GBK" w:hAnsi="仿宋" w:eastAsia="方正仿宋_GBK"/>
                <w:b w:val="0"/>
                <w:kern w:val="2"/>
                <w:sz w:val="24"/>
                <w:szCs w:val="24"/>
              </w:rPr>
              <w:t>个月，试运行前，必要时竞选人需派出人员进行现场指导</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4.2.8</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试运行期间，采购人可随时检查竞选人是否严格执行了本方案要求、竞选人的竞选文件、采购合同、设备使用说明书、操作手册的规定和程序，以及国家和地方相关规范、标准。同时，采购人可对设备的技术参数及性能进行抽查。</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4.2.9</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最终验收</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4.2.10</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仿宋" w:eastAsia="方正仿宋_GBK"/>
                <w:b w:val="0"/>
                <w:kern w:val="2"/>
                <w:sz w:val="24"/>
                <w:szCs w:val="24"/>
              </w:rPr>
              <w:t>试运行期满后，由采购人与竞选人对设备进行最终验收。</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041" w:type="dxa"/>
            <w:gridSpan w:val="2"/>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5.服务</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5.1</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竞选人应保证售后服务的及时性，对售后问题2小时内作出响应，并提供相应解决办法，4小时内到达现场修复缺陷、解决问题。</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5.2</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竞选人所供设备的质保期从最终验收合格之日起计算，时间不低于12个月。</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5.3</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highlight w:val="yellow"/>
              </w:rPr>
            </w:pPr>
            <w:r>
              <w:rPr>
                <w:rFonts w:hint="eastAsia" w:ascii="方正仿宋_GBK" w:hAnsi="仿宋" w:eastAsia="方正仿宋_GBK"/>
                <w:b w:val="0"/>
                <w:kern w:val="2"/>
                <w:sz w:val="24"/>
                <w:szCs w:val="24"/>
              </w:rPr>
              <w:t>在质保期内，竞选人应无条件负责所供设备的维修、保养，承担由此产生的维修费用和配件费用。</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 xml:space="preserve">5.4 </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highlight w:val="yellow"/>
              </w:rPr>
            </w:pPr>
            <w:r>
              <w:rPr>
                <w:rFonts w:hint="eastAsia" w:ascii="方正仿宋_GBK" w:hAnsi="仿宋" w:eastAsia="方正仿宋_GBK"/>
                <w:b w:val="0"/>
                <w:kern w:val="2"/>
                <w:sz w:val="24"/>
                <w:szCs w:val="24"/>
              </w:rPr>
              <w:t>竞选人应书面承诺在产品寿命期内提供该产品的备品备件及图纸资料，并负责维修服务。</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041" w:type="dxa"/>
            <w:gridSpan w:val="2"/>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6.其他要求</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6.1</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产品交付时，必须按相应的标准要求进行包装和标识，以保证产品在运输、贮存等过程中的安全。</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6.2</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文本资料按标准用A4幅面，分类装订成册； 图样资料按标准装订成A4尺寸大小。</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46"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6.3</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仿宋" w:eastAsia="方正仿宋_GBK"/>
                <w:b w:val="0"/>
                <w:kern w:val="2"/>
                <w:sz w:val="24"/>
                <w:szCs w:val="24"/>
              </w:rPr>
              <w:t>产品应附出厂检验合格证。</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46"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仿宋" w:eastAsia="方正仿宋_GBK"/>
                <w:b w:val="0"/>
                <w:kern w:val="2"/>
                <w:sz w:val="24"/>
                <w:szCs w:val="24"/>
              </w:rPr>
              <w:t>6</w:t>
            </w:r>
            <w:r>
              <w:rPr>
                <w:rFonts w:ascii="方正仿宋_GBK" w:hAnsi="仿宋" w:eastAsia="方正仿宋_GBK"/>
                <w:b w:val="0"/>
                <w:kern w:val="2"/>
                <w:sz w:val="24"/>
                <w:szCs w:val="24"/>
              </w:rPr>
              <w:t>.</w:t>
            </w:r>
            <w:r>
              <w:rPr>
                <w:rFonts w:hint="eastAsia" w:ascii="方正仿宋_GBK" w:hAnsi="仿宋" w:eastAsia="方正仿宋_GBK"/>
                <w:b w:val="0"/>
                <w:kern w:val="2"/>
                <w:sz w:val="24"/>
                <w:szCs w:val="24"/>
              </w:rPr>
              <w:t>4</w:t>
            </w:r>
          </w:p>
        </w:tc>
        <w:tc>
          <w:tcPr>
            <w:tcW w:w="4195" w:type="dxa"/>
            <w:vAlign w:val="center"/>
          </w:tcPr>
          <w:p>
            <w:pPr>
              <w:pStyle w:val="4"/>
              <w:spacing w:before="0" w:after="0" w:line="240" w:lineRule="exact"/>
              <w:jc w:val="left"/>
              <w:outlineLvl w:val="0"/>
              <w:rPr>
                <w:rFonts w:ascii="方正仿宋_GBK" w:hAnsi="仿宋" w:eastAsia="方正仿宋_GBK"/>
                <w:b w:val="0"/>
                <w:kern w:val="2"/>
                <w:sz w:val="24"/>
                <w:szCs w:val="24"/>
              </w:rPr>
            </w:pPr>
            <w:r>
              <w:rPr>
                <w:rFonts w:hint="eastAsia" w:ascii="方正仿宋_GBK" w:hAnsi="仿宋" w:eastAsia="方正仿宋_GBK"/>
                <w:b w:val="0"/>
                <w:kern w:val="2"/>
                <w:sz w:val="24"/>
                <w:szCs w:val="24"/>
              </w:rPr>
              <w:t>本次采购活动不接受联合体竞选及再分包等方式。</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041" w:type="dxa"/>
            <w:gridSpan w:val="2"/>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（二）专用技术要求</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041" w:type="dxa"/>
            <w:gridSpan w:val="2"/>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1.生活垃圾溜槽概述</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5041" w:type="dxa"/>
            <w:gridSpan w:val="2"/>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生活垃圾卸料溜槽由卸料溜槽及驱动机构组成。专为转运站生活垃圾卸料泊位使用。溜槽位于容器停泊位上方。卸料溜槽与容器盖门形成卸料漏斗，防止垃圾散落，以使垃圾卸料顺利。</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1.1</w:t>
            </w:r>
          </w:p>
        </w:tc>
        <w:tc>
          <w:tcPr>
            <w:tcW w:w="419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操作方式:电动控制，工作电压:～380 V</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1.2</w:t>
            </w:r>
          </w:p>
        </w:tc>
        <w:tc>
          <w:tcPr>
            <w:tcW w:w="4195" w:type="dxa"/>
            <w:vAlign w:val="center"/>
          </w:tcPr>
          <w:p>
            <w:pPr>
              <w:widowControl/>
              <w:adjustRightInd w:val="0"/>
              <w:snapToGrid w:val="0"/>
              <w:spacing w:before="0" w:after="0" w:line="360" w:lineRule="atLeast"/>
              <w:jc w:val="left"/>
              <w:outlineLvl w:val="0"/>
              <w:rPr>
                <w:rFonts w:hint="eastAsia" w:eastAsia="方正仿宋_GBK" w:cs="Arial" w:asciiTheme="minorEastAsia" w:hAnsiTheme="minorEastAsia"/>
                <w:b w:val="0"/>
                <w:bCs w:val="0"/>
                <w:snapToGrid w:val="0"/>
                <w:kern w:val="2"/>
                <w:sz w:val="24"/>
                <w:szCs w:val="24"/>
              </w:rPr>
            </w:pPr>
            <w:r>
              <w:rPr>
                <w:rFonts w:hint="eastAsia" w:eastAsia="方正仿宋_GBK" w:cs="Arial" w:asciiTheme="minorEastAsia" w:hAnsiTheme="minorEastAsia"/>
                <w:b w:val="0"/>
                <w:bCs w:val="0"/>
                <w:snapToGrid w:val="0"/>
                <w:kern w:val="2"/>
                <w:sz w:val="24"/>
                <w:szCs w:val="24"/>
              </w:rPr>
              <w:t>溜槽升降电机及功率:2台/泊位，≥0.75</w:t>
            </w:r>
            <w:r>
              <w:rPr>
                <w:rFonts w:hint="eastAsia" w:cs="Arial" w:asciiTheme="minorEastAsia" w:hAnsiTheme="minorEastAsia"/>
                <w:b w:val="0"/>
                <w:bCs w:val="0"/>
                <w:snapToGrid w:val="0"/>
                <w:kern w:val="2"/>
                <w:sz w:val="24"/>
                <w:szCs w:val="24"/>
                <w:lang w:val="en-US" w:eastAsia="zh-CN"/>
              </w:rPr>
              <w:t>Kw</w:t>
            </w:r>
            <w:r>
              <w:rPr>
                <w:rFonts w:hint="eastAsia" w:eastAsia="方正仿宋_GBK" w:cs="Arial" w:asciiTheme="minorEastAsia" w:hAnsiTheme="minorEastAsia"/>
                <w:b w:val="0"/>
                <w:bCs w:val="0"/>
                <w:snapToGrid w:val="0"/>
                <w:kern w:val="2"/>
                <w:sz w:val="24"/>
                <w:szCs w:val="24"/>
              </w:rPr>
              <w:t>×2</w:t>
            </w:r>
          </w:p>
        </w:tc>
        <w:tc>
          <w:tcPr>
            <w:tcW w:w="2335" w:type="dxa"/>
            <w:vAlign w:val="center"/>
          </w:tcPr>
          <w:p>
            <w:pPr>
              <w:rPr>
                <w:rFonts w:ascii="Arial" w:hAnsi="Arial" w:eastAsia="宋体" w:cs="Arial"/>
                <w:szCs w:val="21"/>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1.3</w:t>
            </w:r>
          </w:p>
        </w:tc>
        <w:tc>
          <w:tcPr>
            <w:tcW w:w="4195" w:type="dxa"/>
            <w:vAlign w:val="center"/>
          </w:tcPr>
          <w:p>
            <w:pPr>
              <w:widowControl/>
              <w:adjustRightInd w:val="0"/>
              <w:snapToGrid w:val="0"/>
              <w:spacing w:before="0" w:after="0" w:line="360" w:lineRule="atLeast"/>
              <w:jc w:val="left"/>
              <w:outlineLvl w:val="0"/>
              <w:rPr>
                <w:rFonts w:hint="eastAsia" w:eastAsia="方正仿宋_GBK" w:cs="Arial" w:asciiTheme="minorEastAsia" w:hAnsiTheme="minorEastAsia"/>
                <w:b w:val="0"/>
                <w:bCs w:val="0"/>
                <w:snapToGrid w:val="0"/>
                <w:color w:val="auto"/>
                <w:kern w:val="2"/>
                <w:sz w:val="24"/>
                <w:szCs w:val="24"/>
                <w:highlight w:val="none"/>
              </w:rPr>
            </w:pPr>
            <w:r>
              <w:rPr>
                <w:rFonts w:hint="eastAsia" w:eastAsia="方正仿宋_GBK" w:cs="Arial" w:asciiTheme="minorEastAsia" w:hAnsiTheme="minorEastAsia"/>
                <w:b w:val="0"/>
                <w:bCs w:val="0"/>
                <w:snapToGrid w:val="0"/>
                <w:color w:val="auto"/>
                <w:kern w:val="2"/>
                <w:sz w:val="24"/>
                <w:szCs w:val="24"/>
                <w:highlight w:val="none"/>
              </w:rPr>
              <w:t>溜槽材料：高强度优质钢，厚度≥4mm，</w:t>
            </w:r>
          </w:p>
        </w:tc>
        <w:tc>
          <w:tcPr>
            <w:tcW w:w="2335" w:type="dxa"/>
            <w:vAlign w:val="center"/>
          </w:tcPr>
          <w:p>
            <w:pPr>
              <w:rPr>
                <w:rFonts w:ascii="Arial" w:hAnsi="Arial" w:eastAsia="宋体" w:cs="Arial"/>
                <w:szCs w:val="21"/>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w:t>
            </w:r>
            <w:r>
              <w:rPr>
                <w:rFonts w:ascii="方正仿宋_GBK" w:hAnsi="Calibri" w:eastAsia="方正仿宋_GBK" w:cs="方正仿宋_GBK"/>
                <w:b w:val="0"/>
                <w:bCs w:val="0"/>
                <w:kern w:val="2"/>
                <w:sz w:val="24"/>
                <w:szCs w:val="24"/>
              </w:rPr>
              <w:t>.4</w:t>
            </w:r>
          </w:p>
        </w:tc>
        <w:tc>
          <w:tcPr>
            <w:tcW w:w="4195" w:type="dxa"/>
            <w:vAlign w:val="center"/>
          </w:tcPr>
          <w:p>
            <w:pPr>
              <w:widowControl/>
              <w:adjustRightInd w:val="0"/>
              <w:snapToGrid w:val="0"/>
              <w:spacing w:before="0" w:after="0" w:line="360" w:lineRule="atLeast"/>
              <w:jc w:val="left"/>
              <w:outlineLvl w:val="0"/>
              <w:rPr>
                <w:rFonts w:hint="eastAsia" w:eastAsia="方正仿宋_GBK" w:cs="Arial" w:asciiTheme="minorEastAsia" w:hAnsiTheme="minorEastAsia"/>
                <w:b w:val="0"/>
                <w:bCs w:val="0"/>
                <w:snapToGrid w:val="0"/>
                <w:color w:val="auto"/>
                <w:kern w:val="2"/>
                <w:sz w:val="24"/>
                <w:szCs w:val="24"/>
                <w:highlight w:val="none"/>
              </w:rPr>
            </w:pPr>
            <w:r>
              <w:rPr>
                <w:rFonts w:hint="eastAsia" w:eastAsia="方正仿宋_GBK" w:cs="Arial" w:asciiTheme="minorEastAsia" w:hAnsiTheme="minorEastAsia"/>
                <w:b w:val="0"/>
                <w:bCs w:val="0"/>
                <w:snapToGrid w:val="0"/>
                <w:color w:val="auto"/>
                <w:kern w:val="2"/>
                <w:sz w:val="24"/>
                <w:szCs w:val="24"/>
                <w:highlight w:val="none"/>
              </w:rPr>
              <w:t>生活溜槽重量：</w:t>
            </w:r>
            <w:r>
              <w:rPr>
                <w:rFonts w:hint="eastAsia" w:ascii="方正仿宋_GBK" w:hAnsi="Calibri" w:cs="方正仿宋_GBK"/>
                <w:color w:val="auto"/>
                <w:sz w:val="24"/>
                <w:szCs w:val="24"/>
                <w:highlight w:val="none"/>
              </w:rPr>
              <w:t>≥</w:t>
            </w:r>
            <w:r>
              <w:rPr>
                <w:rFonts w:hint="eastAsia" w:eastAsia="方正仿宋_GBK" w:cs="Arial" w:asciiTheme="minorEastAsia" w:hAnsiTheme="minorEastAsia"/>
                <w:b w:val="0"/>
                <w:bCs w:val="0"/>
                <w:snapToGrid w:val="0"/>
                <w:color w:val="auto"/>
                <w:kern w:val="2"/>
                <w:sz w:val="24"/>
                <w:szCs w:val="24"/>
                <w:highlight w:val="none"/>
              </w:rPr>
              <w:t>620Kg</w:t>
            </w:r>
            <w:r>
              <w:rPr>
                <w:rFonts w:hint="eastAsia" w:cs="Arial" w:asciiTheme="minorEastAsia" w:hAnsiTheme="minorEastAsia"/>
                <w:snapToGrid w:val="0"/>
                <w:color w:val="auto"/>
                <w:sz w:val="24"/>
                <w:szCs w:val="24"/>
                <w:highlight w:val="none"/>
                <w:lang w:val="en-US" w:eastAsia="zh-CN"/>
              </w:rPr>
              <w:t>以竞选人提供方案的尺寸为准。</w:t>
            </w:r>
          </w:p>
        </w:tc>
        <w:tc>
          <w:tcPr>
            <w:tcW w:w="2335" w:type="dxa"/>
            <w:vAlign w:val="center"/>
          </w:tcPr>
          <w:p>
            <w:pPr>
              <w:rPr>
                <w:rFonts w:ascii="Arial" w:hAnsi="Arial" w:eastAsia="宋体" w:cs="Arial"/>
                <w:szCs w:val="21"/>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1.5</w:t>
            </w:r>
          </w:p>
        </w:tc>
        <w:tc>
          <w:tcPr>
            <w:tcW w:w="4195" w:type="dxa"/>
            <w:vAlign w:val="center"/>
          </w:tcPr>
          <w:p>
            <w:pPr>
              <w:widowControl/>
              <w:adjustRightInd w:val="0"/>
              <w:snapToGrid w:val="0"/>
              <w:spacing w:before="0" w:after="0" w:line="360" w:lineRule="atLeast"/>
              <w:jc w:val="left"/>
              <w:outlineLvl w:val="0"/>
              <w:rPr>
                <w:rFonts w:hint="eastAsia" w:eastAsia="方正仿宋_GBK" w:cs="Arial" w:asciiTheme="minorEastAsia" w:hAnsiTheme="minorEastAsia"/>
                <w:b w:val="0"/>
                <w:bCs w:val="0"/>
                <w:snapToGrid w:val="0"/>
                <w:kern w:val="2"/>
                <w:sz w:val="24"/>
                <w:szCs w:val="24"/>
              </w:rPr>
            </w:pPr>
            <w:r>
              <w:rPr>
                <w:rFonts w:hint="eastAsia" w:eastAsia="方正仿宋_GBK" w:cs="Arial" w:asciiTheme="minorEastAsia" w:hAnsiTheme="minorEastAsia"/>
                <w:b w:val="0"/>
                <w:bCs w:val="0"/>
                <w:snapToGrid w:val="0"/>
                <w:kern w:val="2"/>
                <w:sz w:val="24"/>
                <w:szCs w:val="24"/>
              </w:rPr>
              <w:t>外形尺寸（长×宽×高）：约3790×3226×1205mm</w:t>
            </w:r>
            <w:r>
              <w:rPr>
                <w:rFonts w:hint="eastAsia" w:cs="Arial" w:asciiTheme="minorEastAsia" w:hAnsiTheme="minorEastAsia"/>
                <w:snapToGrid w:val="0"/>
                <w:sz w:val="24"/>
                <w:szCs w:val="24"/>
                <w:lang w:val="en-US" w:eastAsia="zh-CN"/>
              </w:rPr>
              <w:t>以竞选人提供方案的尺寸为准。</w:t>
            </w:r>
          </w:p>
        </w:tc>
        <w:tc>
          <w:tcPr>
            <w:tcW w:w="2335" w:type="dxa"/>
            <w:vAlign w:val="center"/>
          </w:tcPr>
          <w:p>
            <w:pPr>
              <w:rPr>
                <w:rFonts w:ascii="Arial" w:hAnsi="Arial" w:eastAsia="宋体" w:cs="Arial"/>
                <w:szCs w:val="21"/>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1.6</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A.溜槽主体：与转运容器接料门匹配，形状为三侧等高边、一侧低边合围的倒锥体料斗状。溜槽及侧板位置增加加强筋，增加限位装置，适当提高溜槽倾斜度保证快速卸料。溜槽转轴应具有抗弯曲变形能力，并提供其方案说明。</w:t>
            </w:r>
          </w:p>
        </w:tc>
        <w:tc>
          <w:tcPr>
            <w:tcW w:w="2335" w:type="dxa"/>
            <w:vAlign w:val="center"/>
          </w:tcPr>
          <w:p>
            <w:pPr>
              <w:rPr>
                <w:rFonts w:ascii="Arial" w:hAnsi="Arial" w:eastAsia="宋体" w:cs="Arial"/>
                <w:szCs w:val="21"/>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1.7</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B.驱动机构：包括溜槽升降的电动机和减速、链轮链条组合结构；容器接料门开闭的吊带卷扬机构；容器盖门气动回位机构。</w:t>
            </w:r>
          </w:p>
        </w:tc>
        <w:tc>
          <w:tcPr>
            <w:tcW w:w="2335" w:type="dxa"/>
            <w:vAlign w:val="center"/>
          </w:tcPr>
          <w:p>
            <w:pPr>
              <w:rPr>
                <w:rFonts w:ascii="Arial" w:hAnsi="Arial" w:eastAsia="宋体" w:cs="Arial"/>
                <w:szCs w:val="21"/>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1.8</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请竞选人提供生活垃圾卸料溜槽的材质、厚度及结构，</w:t>
            </w:r>
            <w:r>
              <w:rPr>
                <w:rFonts w:cs="Arial" w:asciiTheme="minorEastAsia" w:hAnsiTheme="minorEastAsia"/>
                <w:snapToGrid w:val="0"/>
                <w:sz w:val="24"/>
                <w:szCs w:val="24"/>
              </w:rPr>
              <w:t>要求改造后设备整体性能应优于</w:t>
            </w:r>
            <w:r>
              <w:rPr>
                <w:rFonts w:hint="eastAsia" w:cs="Arial" w:asciiTheme="minorEastAsia" w:hAnsiTheme="minorEastAsia"/>
                <w:snapToGrid w:val="0"/>
                <w:sz w:val="24"/>
                <w:szCs w:val="24"/>
              </w:rPr>
              <w:t>原设备，并提供其方案说明。</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1.9</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为了确保生活垃圾卸料溜槽的质量，竞选人应合理选择溜槽的材质，要求其材质的使用寿命≥6年。并有书面承诺，中标后合同约定：如因材料原因出现质量问题，在6年之内竞选人无条件免费更换。</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041" w:type="dxa"/>
            <w:gridSpan w:val="2"/>
            <w:vAlign w:val="center"/>
          </w:tcPr>
          <w:p>
            <w:pPr>
              <w:pStyle w:val="4"/>
              <w:spacing w:before="0" w:after="0" w:line="240" w:lineRule="exact"/>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2.复合垃圾溜槽概述</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jc w:val="center"/>
        </w:trPr>
        <w:tc>
          <w:tcPr>
            <w:tcW w:w="5041" w:type="dxa"/>
            <w:gridSpan w:val="2"/>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复合垃圾溜槽由1套生活垃圾溜槽及1套餐厨垃圾溜槽组合而成。复合垃圾卸料溜槽专为普通生活垃圾转运工位设计，在此生活垃圾转运工位需要进行餐厨垃圾转运时，只需将餐厨垃圾卸料溜槽嵌合（叠加）在普通生活垃圾卸料溜槽中，由驱动机构连同生活垃圾卸料溜槽一同升降。当该泊位需要转运生活垃圾时，只需将兼容型餐厨垃圾卸料溜槽扣住即可。</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846"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2.1</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复合垃圾溜槽中生活垃圾溜槽必须满足上述生活垃圾溜槽技术要求</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2.2</w:t>
            </w:r>
          </w:p>
        </w:tc>
        <w:tc>
          <w:tcPr>
            <w:tcW w:w="4195" w:type="dxa"/>
            <w:vAlign w:val="center"/>
          </w:tcPr>
          <w:p>
            <w:pPr>
              <w:adjustRightInd w:val="0"/>
              <w:snapToGrid w:val="0"/>
              <w:spacing w:line="360" w:lineRule="atLeast"/>
              <w:outlineLvl w:val="0"/>
              <w:rPr>
                <w:rFonts w:cs="Arial" w:asciiTheme="minorEastAsia" w:hAnsiTheme="minorEastAsia"/>
                <w:snapToGrid w:val="0"/>
                <w:sz w:val="24"/>
                <w:szCs w:val="24"/>
              </w:rPr>
            </w:pPr>
            <w:r>
              <w:rPr>
                <w:rFonts w:cs="Arial" w:asciiTheme="minorEastAsia" w:hAnsiTheme="minorEastAsia"/>
                <w:snapToGrid w:val="0"/>
                <w:sz w:val="24"/>
                <w:szCs w:val="24"/>
              </w:rPr>
              <w:t>操作方式：附嵌在生活垃圾卸料溜槽中随动</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2.3</w:t>
            </w:r>
          </w:p>
        </w:tc>
        <w:tc>
          <w:tcPr>
            <w:tcW w:w="4195" w:type="dxa"/>
            <w:vAlign w:val="center"/>
          </w:tcPr>
          <w:p>
            <w:pPr>
              <w:adjustRightInd w:val="0"/>
              <w:snapToGrid w:val="0"/>
              <w:spacing w:line="360" w:lineRule="atLeast"/>
              <w:outlineLvl w:val="0"/>
              <w:rPr>
                <w:rFonts w:hint="default" w:eastAsia="方正仿宋_GBK" w:cs="Arial" w:asciiTheme="minorEastAsia" w:hAnsiTheme="minorEastAsia"/>
                <w:snapToGrid w:val="0"/>
                <w:sz w:val="24"/>
                <w:szCs w:val="24"/>
                <w:lang w:val="en-US" w:eastAsia="zh-CN"/>
              </w:rPr>
            </w:pPr>
            <w:r>
              <w:rPr>
                <w:rFonts w:hint="eastAsia" w:ascii="方正仿宋_GBK" w:hAnsi="Calibri" w:cs="方正仿宋_GBK"/>
                <w:sz w:val="24"/>
                <w:szCs w:val="24"/>
              </w:rPr>
              <w:t>溜槽升降电机及功率:2台/泊位，≥0.75KW×2（需考虑同时驱动1台生活垃圾溜槽及1台餐厨垃圾溜槽）</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2.4</w:t>
            </w:r>
          </w:p>
        </w:tc>
        <w:tc>
          <w:tcPr>
            <w:tcW w:w="4195" w:type="dxa"/>
            <w:vAlign w:val="center"/>
          </w:tcPr>
          <w:p>
            <w:pPr>
              <w:adjustRightInd w:val="0"/>
              <w:snapToGrid w:val="0"/>
              <w:spacing w:line="360" w:lineRule="atLeast"/>
              <w:outlineLvl w:val="0"/>
              <w:rPr>
                <w:rFonts w:cs="Arial" w:asciiTheme="minorEastAsia" w:hAnsiTheme="minorEastAsia"/>
                <w:snapToGrid w:val="0"/>
                <w:sz w:val="24"/>
                <w:szCs w:val="24"/>
              </w:rPr>
            </w:pPr>
            <w:r>
              <w:rPr>
                <w:rFonts w:hint="eastAsia" w:ascii="方正仿宋_GBK" w:hAnsi="Calibri" w:cs="方正仿宋_GBK"/>
                <w:sz w:val="24"/>
                <w:szCs w:val="24"/>
              </w:rPr>
              <w:t>溜槽材料：高强度优质钢，厚度≥4mm</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2.5</w:t>
            </w:r>
          </w:p>
        </w:tc>
        <w:tc>
          <w:tcPr>
            <w:tcW w:w="4195" w:type="dxa"/>
            <w:vAlign w:val="center"/>
          </w:tcPr>
          <w:p>
            <w:pPr>
              <w:adjustRightInd w:val="0"/>
              <w:snapToGrid w:val="0"/>
              <w:spacing w:line="360" w:lineRule="atLeast"/>
              <w:outlineLvl w:val="0"/>
              <w:rPr>
                <w:rFonts w:hint="default" w:eastAsia="方正仿宋_GBK" w:cs="Arial" w:asciiTheme="minorEastAsia" w:hAnsiTheme="minorEastAsia"/>
                <w:snapToGrid w:val="0"/>
                <w:sz w:val="24"/>
                <w:szCs w:val="24"/>
                <w:lang w:val="en-US" w:eastAsia="zh-CN"/>
              </w:rPr>
            </w:pPr>
            <w:r>
              <w:rPr>
                <w:rFonts w:hint="eastAsia" w:cs="Arial" w:asciiTheme="minorEastAsia" w:hAnsiTheme="minorEastAsia"/>
                <w:snapToGrid w:val="0"/>
                <w:sz w:val="24"/>
                <w:szCs w:val="24"/>
              </w:rPr>
              <w:t>餐厨</w:t>
            </w:r>
            <w:r>
              <w:rPr>
                <w:rFonts w:cs="Arial" w:asciiTheme="minorEastAsia" w:hAnsiTheme="minorEastAsia"/>
                <w:snapToGrid w:val="0"/>
                <w:sz w:val="24"/>
                <w:szCs w:val="24"/>
              </w:rPr>
              <w:t>溜槽重量：</w:t>
            </w:r>
            <w:r>
              <w:rPr>
                <w:rFonts w:hint="eastAsia" w:ascii="方正仿宋_GBK" w:hAnsi="Calibri" w:cs="方正仿宋_GBK"/>
                <w:sz w:val="24"/>
                <w:szCs w:val="24"/>
              </w:rPr>
              <w:t>≥</w:t>
            </w:r>
            <w:r>
              <w:rPr>
                <w:rFonts w:hint="eastAsia" w:cs="Arial" w:asciiTheme="minorEastAsia" w:hAnsiTheme="minorEastAsia"/>
                <w:snapToGrid w:val="0"/>
                <w:sz w:val="24"/>
                <w:szCs w:val="24"/>
              </w:rPr>
              <w:t>550</w:t>
            </w:r>
            <w:r>
              <w:rPr>
                <w:rFonts w:cs="Arial" w:asciiTheme="minorEastAsia" w:hAnsiTheme="minorEastAsia"/>
                <w:snapToGrid w:val="0"/>
                <w:sz w:val="24"/>
                <w:szCs w:val="24"/>
              </w:rPr>
              <w:t>Kg</w:t>
            </w:r>
            <w:r>
              <w:rPr>
                <w:rFonts w:hint="eastAsia" w:cs="Arial" w:asciiTheme="minorEastAsia" w:hAnsiTheme="minorEastAsia"/>
                <w:snapToGrid w:val="0"/>
                <w:sz w:val="24"/>
                <w:szCs w:val="24"/>
                <w:lang w:eastAsia="zh-CN"/>
              </w:rPr>
              <w:t>，</w:t>
            </w:r>
            <w:r>
              <w:rPr>
                <w:rFonts w:hint="eastAsia" w:cs="Arial" w:asciiTheme="minorEastAsia" w:hAnsiTheme="minorEastAsia"/>
                <w:snapToGrid w:val="0"/>
                <w:sz w:val="24"/>
                <w:szCs w:val="24"/>
                <w:lang w:val="en-US" w:eastAsia="zh-CN"/>
              </w:rPr>
              <w:t>以竞选人提供方案的重量为准。</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2.6</w:t>
            </w:r>
          </w:p>
        </w:tc>
        <w:tc>
          <w:tcPr>
            <w:tcW w:w="4195" w:type="dxa"/>
            <w:vAlign w:val="center"/>
          </w:tcPr>
          <w:p>
            <w:pPr>
              <w:adjustRightInd w:val="0"/>
              <w:snapToGrid w:val="0"/>
              <w:spacing w:line="360" w:lineRule="atLeast"/>
              <w:outlineLvl w:val="0"/>
              <w:rPr>
                <w:rFonts w:hint="eastAsia" w:eastAsia="方正仿宋_GBK" w:cs="Arial" w:asciiTheme="minorEastAsia" w:hAnsiTheme="minorEastAsia"/>
                <w:snapToGrid w:val="0"/>
                <w:sz w:val="24"/>
                <w:szCs w:val="24"/>
                <w:lang w:eastAsia="zh-CN"/>
              </w:rPr>
            </w:pPr>
            <w:r>
              <w:rPr>
                <w:rFonts w:hint="eastAsia" w:ascii="方正仿宋_GBK" w:hAnsi="Calibri" w:cs="方正仿宋_GBK"/>
                <w:sz w:val="24"/>
                <w:szCs w:val="24"/>
              </w:rPr>
              <w:t>外形尺寸（长×宽×高）：约3790×3226×12</w:t>
            </w:r>
            <w:r>
              <w:rPr>
                <w:rFonts w:hint="eastAsia" w:ascii="方正仿宋_GBK" w:hAnsi="Calibri" w:cs="方正仿宋_GBK"/>
                <w:sz w:val="24"/>
                <w:szCs w:val="24"/>
                <w:lang w:val="en-US" w:eastAsia="zh-CN"/>
              </w:rPr>
              <w:t>8</w:t>
            </w:r>
            <w:r>
              <w:rPr>
                <w:rFonts w:hint="eastAsia" w:ascii="方正仿宋_GBK" w:hAnsi="Calibri" w:cs="方正仿宋_GBK"/>
                <w:sz w:val="24"/>
                <w:szCs w:val="24"/>
              </w:rPr>
              <w:t>5mm</w:t>
            </w:r>
            <w:r>
              <w:rPr>
                <w:rFonts w:hint="eastAsia" w:ascii="方正仿宋_GBK" w:hAnsi="Calibri" w:cs="方正仿宋_GBK"/>
                <w:sz w:val="24"/>
                <w:szCs w:val="24"/>
                <w:lang w:eastAsia="zh-CN"/>
              </w:rPr>
              <w:t>。</w:t>
            </w:r>
            <w:r>
              <w:rPr>
                <w:rFonts w:hint="eastAsia" w:cs="Arial" w:asciiTheme="minorEastAsia" w:hAnsiTheme="minorEastAsia"/>
                <w:snapToGrid w:val="0"/>
                <w:sz w:val="24"/>
                <w:szCs w:val="24"/>
                <w:lang w:val="en-US" w:eastAsia="zh-CN"/>
              </w:rPr>
              <w:t>以竞选人提供方案的尺寸为准。</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46" w:type="dxa"/>
            <w:vAlign w:val="center"/>
          </w:tcPr>
          <w:p>
            <w:pPr>
              <w:pStyle w:val="4"/>
              <w:spacing w:before="0" w:after="0" w:line="240" w:lineRule="exact"/>
              <w:jc w:val="center"/>
              <w:outlineLvl w:val="0"/>
              <w:rPr>
                <w:rFonts w:ascii="方正仿宋_GBK" w:hAnsi="Calibri" w:eastAsia="方正仿宋_GBK" w:cs="方正仿宋_GBK"/>
                <w:b w:val="0"/>
                <w:bCs w:val="0"/>
                <w:kern w:val="2"/>
                <w:sz w:val="24"/>
                <w:szCs w:val="24"/>
              </w:rPr>
            </w:pPr>
            <w:r>
              <w:rPr>
                <w:rFonts w:hint="eastAsia" w:ascii="方正仿宋_GBK" w:hAnsi="Calibri" w:eastAsia="方正仿宋_GBK" w:cs="方正仿宋_GBK"/>
                <w:b w:val="0"/>
                <w:bCs w:val="0"/>
                <w:kern w:val="2"/>
                <w:sz w:val="24"/>
                <w:szCs w:val="24"/>
              </w:rPr>
              <w:t>2.7</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cs="Arial" w:asciiTheme="minorEastAsia" w:hAnsiTheme="minorEastAsia"/>
                <w:snapToGrid w:val="0"/>
                <w:sz w:val="24"/>
                <w:szCs w:val="24"/>
              </w:rPr>
              <w:t>请</w:t>
            </w:r>
            <w:r>
              <w:rPr>
                <w:rFonts w:hint="eastAsia" w:cs="Arial" w:asciiTheme="minorEastAsia" w:hAnsiTheme="minorEastAsia"/>
                <w:snapToGrid w:val="0"/>
                <w:sz w:val="24"/>
                <w:szCs w:val="24"/>
              </w:rPr>
              <w:t>竞选人</w:t>
            </w:r>
            <w:r>
              <w:rPr>
                <w:rFonts w:cs="Arial" w:asciiTheme="minorEastAsia" w:hAnsiTheme="minorEastAsia"/>
                <w:snapToGrid w:val="0"/>
                <w:sz w:val="24"/>
                <w:szCs w:val="24"/>
              </w:rPr>
              <w:t>提供餐厨垃圾</w:t>
            </w:r>
            <w:r>
              <w:rPr>
                <w:rFonts w:hint="eastAsia" w:cs="Arial" w:asciiTheme="minorEastAsia" w:hAnsiTheme="minorEastAsia"/>
                <w:snapToGrid w:val="0"/>
                <w:sz w:val="24"/>
                <w:szCs w:val="24"/>
              </w:rPr>
              <w:t>溜槽</w:t>
            </w:r>
            <w:r>
              <w:rPr>
                <w:rFonts w:cs="Arial" w:asciiTheme="minorEastAsia" w:hAnsiTheme="minorEastAsia"/>
                <w:snapToGrid w:val="0"/>
                <w:sz w:val="24"/>
                <w:szCs w:val="24"/>
              </w:rPr>
              <w:t>的材质、厚度及结构</w:t>
            </w:r>
            <w:r>
              <w:rPr>
                <w:rFonts w:hint="eastAsia" w:cs="Arial" w:asciiTheme="minorEastAsia" w:hAnsiTheme="minorEastAsia"/>
                <w:snapToGrid w:val="0"/>
                <w:sz w:val="24"/>
                <w:szCs w:val="24"/>
              </w:rPr>
              <w:t>，要求改造后设备整体性能应优于原设备。</w:t>
            </w:r>
          </w:p>
        </w:tc>
        <w:tc>
          <w:tcPr>
            <w:tcW w:w="233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184"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c>
          <w:tcPr>
            <w:tcW w:w="1925" w:type="dxa"/>
            <w:vAlign w:val="center"/>
          </w:tcPr>
          <w:p>
            <w:pPr>
              <w:pStyle w:val="4"/>
              <w:spacing w:before="0" w:after="0" w:line="240" w:lineRule="exact"/>
              <w:jc w:val="left"/>
              <w:outlineLvl w:val="0"/>
              <w:rPr>
                <w:rFonts w:ascii="方正仿宋_GBK" w:hAnsi="Calibri" w:eastAsia="方正仿宋_GBK" w:cs="方正仿宋_GBK"/>
                <w:b w:val="0"/>
                <w:bCs w:val="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46"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2.8</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为了确保复合餐厨垃圾料斗的质量，竞选人应合理选择溜槽的材质，要求其材质的使用寿命≥6年。并有书面承诺，中标后合同约定：如因材料原因出现质量问题，在6年之内竞选人无条件免费更换。</w:t>
            </w:r>
          </w:p>
        </w:tc>
        <w:tc>
          <w:tcPr>
            <w:tcW w:w="2335"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184"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925" w:type="dxa"/>
            <w:vAlign w:val="center"/>
          </w:tcPr>
          <w:p>
            <w:pPr>
              <w:widowControl/>
              <w:adjustRightInd w:val="0"/>
              <w:snapToGrid w:val="0"/>
              <w:spacing w:line="360" w:lineRule="atLeast"/>
              <w:jc w:val="left"/>
              <w:rPr>
                <w:rFonts w:cs="Arial" w:asciiTheme="minorEastAsia" w:hAnsiTheme="minorEastAsia"/>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46" w:type="dxa"/>
            <w:vAlign w:val="center"/>
          </w:tcPr>
          <w:p>
            <w:pPr>
              <w:widowControl/>
              <w:adjustRightInd w:val="0"/>
              <w:snapToGrid w:val="0"/>
              <w:spacing w:line="360" w:lineRule="atLeast"/>
              <w:jc w:val="center"/>
              <w:rPr>
                <w:rFonts w:cs="Arial" w:asciiTheme="minorEastAsia" w:hAnsiTheme="minorEastAsia"/>
                <w:snapToGrid w:val="0"/>
                <w:sz w:val="24"/>
                <w:szCs w:val="24"/>
              </w:rPr>
            </w:pPr>
            <w:r>
              <w:rPr>
                <w:rFonts w:hint="eastAsia" w:cs="Arial" w:asciiTheme="minorEastAsia" w:hAnsiTheme="minorEastAsia"/>
                <w:snapToGrid w:val="0"/>
                <w:sz w:val="24"/>
                <w:szCs w:val="24"/>
              </w:rPr>
              <w:t>3</w:t>
            </w:r>
          </w:p>
        </w:tc>
        <w:tc>
          <w:tcPr>
            <w:tcW w:w="4195" w:type="dxa"/>
            <w:vAlign w:val="center"/>
          </w:tcPr>
          <w:p>
            <w:pPr>
              <w:widowControl/>
              <w:adjustRightInd w:val="0"/>
              <w:snapToGrid w:val="0"/>
              <w:spacing w:line="360" w:lineRule="atLeast"/>
              <w:jc w:val="left"/>
              <w:rPr>
                <w:rFonts w:hint="eastAsia" w:eastAsia="方正仿宋_GBK" w:cs="Arial" w:asciiTheme="minorEastAsia" w:hAnsiTheme="minorEastAsia"/>
                <w:snapToGrid w:val="0"/>
                <w:sz w:val="24"/>
                <w:szCs w:val="24"/>
                <w:lang w:val="en-US" w:eastAsia="zh-CN"/>
              </w:rPr>
            </w:pPr>
            <w:r>
              <w:rPr>
                <w:rFonts w:hint="eastAsia" w:cs="Arial" w:asciiTheme="minorEastAsia" w:hAnsiTheme="minorEastAsia"/>
                <w:snapToGrid w:val="0"/>
                <w:sz w:val="24"/>
                <w:szCs w:val="24"/>
              </w:rPr>
              <w:t>溜槽升降应匀速、平稳，升降过程中不能出现溜车现象</w:t>
            </w:r>
            <w:r>
              <w:rPr>
                <w:rFonts w:hint="eastAsia" w:cs="Arial" w:asciiTheme="minorEastAsia" w:hAnsiTheme="minorEastAsia"/>
                <w:snapToGrid w:val="0"/>
                <w:sz w:val="24"/>
                <w:szCs w:val="24"/>
                <w:lang w:eastAsia="zh-CN"/>
              </w:rPr>
              <w:t>，</w:t>
            </w:r>
            <w:r>
              <w:rPr>
                <w:rFonts w:hint="eastAsia" w:cs="Arial" w:asciiTheme="minorEastAsia" w:hAnsiTheme="minorEastAsia"/>
                <w:snapToGrid w:val="0"/>
                <w:sz w:val="24"/>
                <w:szCs w:val="24"/>
                <w:lang w:val="en-US" w:eastAsia="zh-CN"/>
              </w:rPr>
              <w:t>溜槽翻转轴应可承受长期卸料及翻转不发生变形现象，翻转轴使用寿命</w:t>
            </w:r>
            <w:r>
              <w:rPr>
                <w:rFonts w:hint="eastAsia" w:cs="Arial" w:asciiTheme="minorEastAsia" w:hAnsiTheme="minorEastAsia"/>
                <w:snapToGrid w:val="0"/>
                <w:sz w:val="24"/>
                <w:szCs w:val="24"/>
              </w:rPr>
              <w:t>≥6年</w:t>
            </w:r>
            <w:r>
              <w:rPr>
                <w:rFonts w:hint="eastAsia" w:cs="Arial" w:asciiTheme="minorEastAsia" w:hAnsiTheme="minorEastAsia"/>
                <w:snapToGrid w:val="0"/>
                <w:sz w:val="24"/>
                <w:szCs w:val="24"/>
                <w:lang w:eastAsia="zh-CN"/>
              </w:rPr>
              <w:t>。</w:t>
            </w:r>
          </w:p>
        </w:tc>
        <w:tc>
          <w:tcPr>
            <w:tcW w:w="2335"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184"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925" w:type="dxa"/>
            <w:vAlign w:val="center"/>
          </w:tcPr>
          <w:p>
            <w:pPr>
              <w:widowControl/>
              <w:adjustRightInd w:val="0"/>
              <w:snapToGrid w:val="0"/>
              <w:spacing w:line="360" w:lineRule="atLeast"/>
              <w:jc w:val="left"/>
              <w:rPr>
                <w:rFonts w:cs="Arial" w:asciiTheme="minorEastAsia" w:hAnsiTheme="minorEastAsia"/>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46" w:type="dxa"/>
            <w:vAlign w:val="center"/>
          </w:tcPr>
          <w:p>
            <w:pPr>
              <w:widowControl/>
              <w:adjustRightInd w:val="0"/>
              <w:snapToGrid w:val="0"/>
              <w:spacing w:line="360" w:lineRule="atLeast"/>
              <w:jc w:val="center"/>
              <w:rPr>
                <w:rFonts w:cs="Arial" w:asciiTheme="minorEastAsia" w:hAnsiTheme="minorEastAsia"/>
                <w:snapToGrid w:val="0"/>
                <w:sz w:val="24"/>
                <w:szCs w:val="24"/>
              </w:rPr>
            </w:pPr>
            <w:r>
              <w:rPr>
                <w:rFonts w:hint="eastAsia" w:cs="Arial" w:asciiTheme="minorEastAsia" w:hAnsiTheme="minorEastAsia"/>
                <w:snapToGrid w:val="0"/>
                <w:sz w:val="24"/>
                <w:szCs w:val="24"/>
              </w:rPr>
              <w:t>4</w:t>
            </w:r>
          </w:p>
        </w:tc>
        <w:tc>
          <w:tcPr>
            <w:tcW w:w="4195" w:type="dxa"/>
            <w:vAlign w:val="center"/>
          </w:tcPr>
          <w:p>
            <w:pPr>
              <w:widowControl/>
              <w:adjustRightInd w:val="0"/>
              <w:snapToGrid w:val="0"/>
              <w:spacing w:line="360" w:lineRule="atLeast"/>
              <w:jc w:val="left"/>
              <w:rPr>
                <w:rFonts w:cs="Arial" w:asciiTheme="minorEastAsia" w:hAnsiTheme="minorEastAsia"/>
                <w:snapToGrid w:val="0"/>
                <w:sz w:val="24"/>
                <w:szCs w:val="24"/>
              </w:rPr>
            </w:pPr>
            <w:r>
              <w:rPr>
                <w:rFonts w:hint="eastAsia" w:cs="Arial" w:asciiTheme="minorEastAsia" w:hAnsiTheme="minorEastAsia"/>
                <w:snapToGrid w:val="0"/>
                <w:sz w:val="24"/>
                <w:szCs w:val="24"/>
              </w:rPr>
              <w:t>溜槽应做防腐处理，表面刷防锈底漆后涂黄色面漆</w:t>
            </w:r>
          </w:p>
        </w:tc>
        <w:tc>
          <w:tcPr>
            <w:tcW w:w="2335"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184"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925" w:type="dxa"/>
            <w:vAlign w:val="center"/>
          </w:tcPr>
          <w:p>
            <w:pPr>
              <w:widowControl/>
              <w:adjustRightInd w:val="0"/>
              <w:snapToGrid w:val="0"/>
              <w:spacing w:line="360" w:lineRule="atLeast"/>
              <w:jc w:val="left"/>
              <w:rPr>
                <w:rFonts w:cs="Arial" w:asciiTheme="minorEastAsia" w:hAnsiTheme="minorEastAsia"/>
                <w:snapToGrid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46" w:type="dxa"/>
            <w:vAlign w:val="center"/>
          </w:tcPr>
          <w:p>
            <w:pPr>
              <w:widowControl/>
              <w:adjustRightInd w:val="0"/>
              <w:snapToGrid w:val="0"/>
              <w:spacing w:line="360" w:lineRule="atLeast"/>
              <w:jc w:val="center"/>
              <w:rPr>
                <w:rFonts w:hint="eastAsia" w:eastAsia="方正仿宋_GBK" w:cs="Arial" w:asciiTheme="minorEastAsia" w:hAnsiTheme="minorEastAsia"/>
                <w:snapToGrid w:val="0"/>
                <w:sz w:val="24"/>
                <w:szCs w:val="24"/>
                <w:lang w:val="en-US" w:eastAsia="zh-CN"/>
              </w:rPr>
            </w:pPr>
            <w:r>
              <w:rPr>
                <w:rFonts w:hint="eastAsia" w:cs="Arial" w:asciiTheme="minorEastAsia" w:hAnsiTheme="minorEastAsia"/>
                <w:snapToGrid w:val="0"/>
                <w:sz w:val="24"/>
                <w:szCs w:val="24"/>
                <w:lang w:val="en-US" w:eastAsia="zh-CN"/>
              </w:rPr>
              <w:t>5</w:t>
            </w:r>
          </w:p>
        </w:tc>
        <w:tc>
          <w:tcPr>
            <w:tcW w:w="4195" w:type="dxa"/>
            <w:vAlign w:val="center"/>
          </w:tcPr>
          <w:p>
            <w:pPr>
              <w:widowControl/>
              <w:adjustRightInd w:val="0"/>
              <w:snapToGrid w:val="0"/>
              <w:spacing w:line="360" w:lineRule="atLeast"/>
              <w:jc w:val="left"/>
              <w:rPr>
                <w:rFonts w:hint="default" w:eastAsia="方正仿宋_GBK" w:cs="Arial" w:asciiTheme="minorEastAsia" w:hAnsiTheme="minorEastAsia"/>
                <w:snapToGrid w:val="0"/>
                <w:sz w:val="24"/>
                <w:szCs w:val="24"/>
                <w:lang w:val="en-US" w:eastAsia="zh-CN"/>
              </w:rPr>
            </w:pPr>
            <w:r>
              <w:rPr>
                <w:rFonts w:hint="eastAsia" w:cs="Arial" w:asciiTheme="minorEastAsia" w:hAnsiTheme="minorEastAsia"/>
                <w:snapToGrid w:val="0"/>
                <w:sz w:val="24"/>
                <w:szCs w:val="24"/>
                <w:lang w:val="en-US" w:eastAsia="zh-CN"/>
              </w:rPr>
              <w:t>4台溜槽固定板需进行更换，尺寸约4750*1300mm，厚度不低于4mm。</w:t>
            </w:r>
          </w:p>
        </w:tc>
        <w:tc>
          <w:tcPr>
            <w:tcW w:w="2335"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184" w:type="dxa"/>
            <w:vAlign w:val="center"/>
          </w:tcPr>
          <w:p>
            <w:pPr>
              <w:widowControl/>
              <w:adjustRightInd w:val="0"/>
              <w:snapToGrid w:val="0"/>
              <w:spacing w:line="360" w:lineRule="atLeast"/>
              <w:jc w:val="left"/>
              <w:rPr>
                <w:rFonts w:cs="Arial" w:asciiTheme="minorEastAsia" w:hAnsiTheme="minorEastAsia"/>
                <w:snapToGrid w:val="0"/>
                <w:sz w:val="24"/>
                <w:szCs w:val="24"/>
              </w:rPr>
            </w:pPr>
          </w:p>
        </w:tc>
        <w:tc>
          <w:tcPr>
            <w:tcW w:w="1925" w:type="dxa"/>
            <w:vAlign w:val="center"/>
          </w:tcPr>
          <w:p>
            <w:pPr>
              <w:widowControl/>
              <w:adjustRightInd w:val="0"/>
              <w:snapToGrid w:val="0"/>
              <w:spacing w:line="360" w:lineRule="atLeast"/>
              <w:jc w:val="left"/>
              <w:rPr>
                <w:rFonts w:cs="Arial" w:asciiTheme="minorEastAsia" w:hAnsiTheme="minorEastAsia"/>
                <w:snapToGrid w:val="0"/>
                <w:sz w:val="24"/>
                <w:szCs w:val="24"/>
              </w:rPr>
            </w:pPr>
          </w:p>
        </w:tc>
      </w:tr>
    </w:tbl>
    <w:p>
      <w:pPr>
        <w:widowControl/>
        <w:adjustRightInd w:val="0"/>
        <w:snapToGrid w:val="0"/>
        <w:spacing w:line="360" w:lineRule="atLeast"/>
        <w:jc w:val="left"/>
        <w:rPr>
          <w:rFonts w:cs="Arial" w:asciiTheme="minorEastAsia" w:hAnsiTheme="minorEastAsia"/>
          <w:snapToGrid w:val="0"/>
          <w:sz w:val="24"/>
          <w:szCs w:val="24"/>
        </w:rPr>
      </w:pPr>
    </w:p>
    <w:p>
      <w:pPr>
        <w:pStyle w:val="3"/>
        <w:spacing w:line="440" w:lineRule="exact"/>
        <w:ind w:firstLine="480" w:firstLineChars="200"/>
        <w:jc w:val="left"/>
        <w:rPr>
          <w:rFonts w:cs="宋体"/>
          <w:b w:val="0"/>
          <w:bCs w:val="0"/>
        </w:rPr>
      </w:pPr>
    </w:p>
    <w:p>
      <w:pPr>
        <w:pStyle w:val="3"/>
        <w:spacing w:line="440" w:lineRule="exact"/>
        <w:ind w:firstLine="480" w:firstLineChars="200"/>
        <w:jc w:val="left"/>
        <w:rPr>
          <w:rFonts w:cs="宋体"/>
          <w:b w:val="0"/>
          <w:bCs w:val="0"/>
        </w:rPr>
      </w:pPr>
    </w:p>
    <w:p>
      <w:pPr>
        <w:pStyle w:val="3"/>
        <w:spacing w:line="440" w:lineRule="exact"/>
        <w:ind w:firstLine="480" w:firstLineChars="200"/>
        <w:jc w:val="left"/>
        <w:rPr>
          <w:rFonts w:cs="宋体"/>
          <w:b w:val="0"/>
          <w:bCs w:val="0"/>
        </w:rPr>
      </w:pPr>
    </w:p>
    <w:p>
      <w:pPr>
        <w:pStyle w:val="3"/>
        <w:jc w:val="both"/>
        <w:sectPr>
          <w:pgSz w:w="11906" w:h="16838"/>
          <w:pgMar w:top="2098" w:right="1474" w:bottom="1984" w:left="1587" w:header="851" w:footer="992" w:gutter="0"/>
          <w:cols w:space="720" w:num="1"/>
          <w:docGrid w:type="lines" w:linePitch="445" w:charSpace="0"/>
        </w:sectPr>
      </w:pPr>
    </w:p>
    <w:p>
      <w:pPr>
        <w:pStyle w:val="3"/>
        <w:ind w:firstLine="0"/>
        <w:rPr>
          <w:rFonts w:hint="eastAsia" w:cs="Times New Roman"/>
          <w:sz w:val="24"/>
          <w:szCs w:val="24"/>
          <w:lang w:val="en-US" w:eastAsia="zh-CN"/>
        </w:rPr>
      </w:pPr>
      <w:r>
        <w:rPr>
          <w:rFonts w:hint="eastAsia" w:cs="Times New Roman"/>
          <w:sz w:val="24"/>
          <w:szCs w:val="24"/>
          <w:lang w:val="en-US" w:eastAsia="zh-CN"/>
        </w:rPr>
        <w:t>附图1：复合溜槽示意图</w:t>
      </w:r>
    </w:p>
    <w:p>
      <w:pPr>
        <w:pStyle w:val="3"/>
        <w:ind w:firstLine="0"/>
      </w:pPr>
      <w:r>
        <w:drawing>
          <wp:inline distT="0" distB="0" distL="114300" distR="114300">
            <wp:extent cx="4105275" cy="3447415"/>
            <wp:effectExtent l="0" t="0" r="952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105275" cy="3447415"/>
                    </a:xfrm>
                    <a:prstGeom prst="rect">
                      <a:avLst/>
                    </a:prstGeom>
                    <a:noFill/>
                    <a:ln>
                      <a:noFill/>
                    </a:ln>
                  </pic:spPr>
                </pic:pic>
              </a:graphicData>
            </a:graphic>
          </wp:inline>
        </w:drawing>
      </w:r>
    </w:p>
    <w:p>
      <w:pPr>
        <w:pStyle w:val="3"/>
        <w:ind w:firstLine="0"/>
        <w:rPr>
          <w:rFonts w:hint="eastAsia"/>
          <w:lang w:val="en-US" w:eastAsia="zh-CN"/>
        </w:rPr>
      </w:pPr>
      <w:r>
        <w:rPr>
          <w:rFonts w:hint="eastAsia"/>
          <w:lang w:val="en-US" w:eastAsia="zh-CN"/>
        </w:rPr>
        <w:t>附图2：生活垃圾溜槽示意图</w:t>
      </w:r>
    </w:p>
    <w:p>
      <w:pPr>
        <w:pStyle w:val="3"/>
        <w:ind w:firstLine="0"/>
        <w:rPr>
          <w:rFonts w:hint="default"/>
          <w:lang w:val="en-US" w:eastAsia="zh-CN"/>
        </w:rPr>
      </w:pPr>
      <w:r>
        <w:drawing>
          <wp:inline distT="0" distB="0" distL="114300" distR="114300">
            <wp:extent cx="4201160" cy="3399790"/>
            <wp:effectExtent l="0" t="0" r="8890"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4201160" cy="3399790"/>
                    </a:xfrm>
                    <a:prstGeom prst="rect">
                      <a:avLst/>
                    </a:prstGeom>
                    <a:noFill/>
                    <a:ln>
                      <a:noFill/>
                    </a:ln>
                  </pic:spPr>
                </pic:pic>
              </a:graphicData>
            </a:graphic>
          </wp:inline>
        </w:drawing>
      </w:r>
    </w:p>
    <w:p>
      <w:pPr>
        <w:pStyle w:val="3"/>
        <w:ind w:firstLine="0"/>
        <w:rPr>
          <w:rFonts w:cs="宋体"/>
          <w:sz w:val="32"/>
          <w:szCs w:val="32"/>
        </w:rPr>
      </w:pPr>
      <w:r>
        <w:rPr>
          <w:rFonts w:hint="eastAsia" w:cs="宋体"/>
          <w:sz w:val="32"/>
          <w:szCs w:val="32"/>
        </w:rPr>
        <w:t>三、竞选人须知</w:t>
      </w:r>
    </w:p>
    <w:p>
      <w:pPr>
        <w:pStyle w:val="3"/>
        <w:numPr>
          <w:ilvl w:val="0"/>
          <w:numId w:val="1"/>
        </w:numPr>
        <w:spacing w:line="600" w:lineRule="exact"/>
        <w:ind w:firstLine="640" w:firstLineChars="200"/>
        <w:jc w:val="left"/>
        <w:rPr>
          <w:rFonts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响应文件要求</w:t>
      </w:r>
    </w:p>
    <w:p>
      <w:pPr>
        <w:numPr>
          <w:ilvl w:val="0"/>
          <w:numId w:val="2"/>
        </w:numPr>
        <w:spacing w:line="600" w:lineRule="exact"/>
        <w:ind w:firstLine="640" w:firstLineChars="200"/>
        <w:jc w:val="left"/>
        <w:rPr>
          <w:rFonts w:ascii="方正仿宋_GBK" w:hAnsi="方正仿宋_GBK" w:cs="方正仿宋_GBK"/>
          <w:szCs w:val="32"/>
        </w:rPr>
      </w:pPr>
      <w:r>
        <w:rPr>
          <w:rFonts w:hint="eastAsia" w:ascii="方正仿宋_GBK" w:hAnsi="方正仿宋_GBK" w:cs="方正仿宋_GBK"/>
          <w:szCs w:val="32"/>
        </w:rPr>
        <w:t>竞选人应当按照方案商务要求、方案技术要求、择优方式要求等编制响应文件，响应文件原则上采用软面订本，同时应编制完整的页码、目录。</w:t>
      </w:r>
    </w:p>
    <w:p>
      <w:pPr>
        <w:pStyle w:val="7"/>
        <w:spacing w:line="600" w:lineRule="exact"/>
        <w:ind w:firstLine="640" w:firstLineChars="200"/>
        <w:jc w:val="left"/>
        <w:rPr>
          <w:rFonts w:ascii="方正仿宋_GBK" w:hAnsi="方正仿宋_GBK" w:cs="方正仿宋_GBK"/>
          <w:sz w:val="32"/>
          <w:szCs w:val="32"/>
        </w:rPr>
      </w:pPr>
      <w:r>
        <w:rPr>
          <w:rFonts w:hint="eastAsia" w:ascii="方正仿宋_GBK" w:hAnsi="方正仿宋_GBK" w:cs="方正仿宋_GBK"/>
          <w:sz w:val="32"/>
          <w:szCs w:val="32"/>
        </w:rPr>
        <w:t>2、响应方案一份，响应方案应用文件袋密封。文件袋上注明项目名称、竞选人名称及 “不准提前启封”字样。文件袋的封口须加盖竞选人公章或授权代表签字。</w:t>
      </w:r>
    </w:p>
    <w:p>
      <w:pPr>
        <w:pStyle w:val="7"/>
        <w:spacing w:line="600" w:lineRule="exact"/>
        <w:ind w:firstLine="640" w:firstLineChars="200"/>
        <w:jc w:val="left"/>
        <w:rPr>
          <w:rFonts w:ascii="方正仿宋_GBK" w:hAnsi="方正仿宋_GBK" w:cs="方正仿宋_GBK"/>
          <w:sz w:val="32"/>
          <w:szCs w:val="32"/>
        </w:rPr>
      </w:pPr>
      <w:r>
        <w:rPr>
          <w:rFonts w:hint="eastAsia" w:ascii="方正仿宋_GBK" w:hAnsi="方正仿宋_GBK" w:cs="方正仿宋_GBK"/>
          <w:sz w:val="32"/>
          <w:szCs w:val="32"/>
        </w:rPr>
        <w:t>3、响应文件密封在一个文件袋内，如响应文件资料较多可分袋密封。响应文件密封后在密封处加盖竞选人公章。</w:t>
      </w:r>
    </w:p>
    <w:p>
      <w:pPr>
        <w:pStyle w:val="2"/>
        <w:spacing w:line="600" w:lineRule="exact"/>
        <w:ind w:firstLine="640" w:firstLineChars="200"/>
        <w:jc w:val="left"/>
        <w:rPr>
          <w:rFonts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4、响应文件中须提供竞选人营业执照、法定代表人身份证明书及法定代表人授权委托书（格式自拟）、资格条件要求提供的其他资料。（加盖竞选人鲜章）</w:t>
      </w:r>
    </w:p>
    <w:p>
      <w:pPr>
        <w:pStyle w:val="7"/>
        <w:spacing w:line="600" w:lineRule="exact"/>
        <w:ind w:firstLine="640" w:firstLineChars="200"/>
        <w:jc w:val="left"/>
        <w:rPr>
          <w:rFonts w:ascii="方正仿宋_GBK" w:hAnsi="方正仿宋_GBK" w:cs="方正仿宋_GBK"/>
          <w:sz w:val="32"/>
          <w:szCs w:val="32"/>
        </w:rPr>
      </w:pPr>
      <w:r>
        <w:rPr>
          <w:rFonts w:hint="eastAsia" w:ascii="方正仿宋_GBK" w:hAnsi="方正仿宋_GBK" w:cs="方正仿宋_GBK"/>
          <w:sz w:val="32"/>
          <w:szCs w:val="32"/>
        </w:rPr>
        <w:t>5、竞选人在领取比选文件或提交竞选文件，需进出采购人工作场所的，需按照重庆市当地新冠疫情防治要求，</w:t>
      </w:r>
      <w:r>
        <w:rPr>
          <w:rFonts w:hint="eastAsia" w:ascii="方正仿宋_GBK" w:hAnsi="方正仿宋_GBK" w:cs="方正仿宋_GBK"/>
          <w:sz w:val="32"/>
          <w:szCs w:val="32"/>
          <w:lang w:eastAsia="zh-CN"/>
        </w:rPr>
        <w:t>进出站点需</w:t>
      </w:r>
      <w:r>
        <w:rPr>
          <w:rFonts w:hint="eastAsia" w:ascii="方正仿宋_GBK" w:hAnsi="方正仿宋_GBK" w:cs="方正仿宋_GBK"/>
          <w:sz w:val="32"/>
          <w:szCs w:val="32"/>
        </w:rPr>
        <w:t>提供</w:t>
      </w:r>
      <w:r>
        <w:rPr>
          <w:rFonts w:hint="eastAsia" w:ascii="方正仿宋_GBK" w:hAnsi="方正仿宋_GBK" w:cs="方正仿宋_GBK"/>
          <w:sz w:val="32"/>
          <w:szCs w:val="32"/>
          <w:lang w:val="en-US" w:eastAsia="zh-CN"/>
        </w:rPr>
        <w:t>48</w:t>
      </w:r>
      <w:r>
        <w:rPr>
          <w:rFonts w:hint="eastAsia" w:ascii="方正仿宋_GBK" w:hAnsi="方正仿宋_GBK" w:cs="方正仿宋_GBK"/>
          <w:sz w:val="32"/>
          <w:szCs w:val="32"/>
        </w:rPr>
        <w:t>小时核酸检测阴性证明，因不符合疫情防控要求导致无法正常领取、提交文件的风险，由竞选人自行承担。</w:t>
      </w:r>
    </w:p>
    <w:p>
      <w:pPr>
        <w:pStyle w:val="2"/>
        <w:numPr>
          <w:ilvl w:val="0"/>
          <w:numId w:val="1"/>
        </w:numPr>
        <w:spacing w:line="600" w:lineRule="exact"/>
        <w:ind w:firstLine="640" w:firstLineChars="200"/>
        <w:jc w:val="left"/>
        <w:rPr>
          <w:rFonts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方案评审</w:t>
      </w:r>
    </w:p>
    <w:p>
      <w:pPr>
        <w:pStyle w:val="2"/>
        <w:spacing w:line="600" w:lineRule="exact"/>
        <w:ind w:firstLine="640" w:firstLineChars="200"/>
        <w:jc w:val="left"/>
        <w:rPr>
          <w:rFonts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采购人对竞选人的提交的响应方案进行综合评审，择优选择</w:t>
      </w:r>
      <w:r>
        <w:rPr>
          <w:rFonts w:hint="eastAsia" w:ascii="方正仿宋_GBK" w:hAnsi="方正仿宋_GBK" w:eastAsia="方正仿宋_GBK" w:cs="方正仿宋_GBK"/>
          <w:b w:val="0"/>
          <w:bCs w:val="0"/>
          <w:sz w:val="32"/>
          <w:szCs w:val="32"/>
          <w:lang w:eastAsia="zh-CN"/>
        </w:rPr>
        <w:t>排名前</w:t>
      </w:r>
      <w:r>
        <w:rPr>
          <w:rFonts w:hint="eastAsia" w:ascii="方正仿宋_GBK" w:hAnsi="方正仿宋_GBK" w:eastAsia="方正仿宋_GBK" w:cs="方正仿宋_GBK"/>
          <w:b w:val="0"/>
          <w:bCs w:val="0"/>
          <w:sz w:val="32"/>
          <w:szCs w:val="32"/>
        </w:rPr>
        <w:t>2</w:t>
      </w:r>
      <w:r>
        <w:rPr>
          <w:rFonts w:hint="eastAsia" w:ascii="方正仿宋_GBK" w:hAnsi="方正仿宋_GBK" w:eastAsia="方正仿宋_GBK" w:cs="方正仿宋_GBK"/>
          <w:b w:val="0"/>
          <w:bCs w:val="0"/>
          <w:sz w:val="32"/>
          <w:szCs w:val="32"/>
          <w:lang w:eastAsia="zh-CN"/>
        </w:rPr>
        <w:t>的</w:t>
      </w:r>
      <w:r>
        <w:rPr>
          <w:rFonts w:hint="eastAsia" w:ascii="方正仿宋_GBK" w:hAnsi="方正仿宋_GBK" w:eastAsia="方正仿宋_GBK" w:cs="方正仿宋_GBK"/>
          <w:b w:val="0"/>
          <w:bCs w:val="0"/>
          <w:sz w:val="32"/>
          <w:szCs w:val="32"/>
        </w:rPr>
        <w:t>竞选人，并在评审当天通知竞选人提交书面报价并加盖公章，其中报价</w:t>
      </w:r>
      <w:r>
        <w:rPr>
          <w:rFonts w:hint="eastAsia" w:ascii="方正仿宋_GBK" w:hAnsi="方正仿宋_GBK" w:eastAsia="方正仿宋_GBK" w:cs="方正仿宋_GBK"/>
          <w:b w:val="0"/>
          <w:bCs w:val="0"/>
          <w:sz w:val="32"/>
          <w:szCs w:val="32"/>
          <w:lang w:eastAsia="zh-CN"/>
        </w:rPr>
        <w:t>总价</w:t>
      </w:r>
      <w:r>
        <w:rPr>
          <w:rFonts w:hint="eastAsia" w:ascii="方正仿宋_GBK" w:hAnsi="方正仿宋_GBK" w:eastAsia="方正仿宋_GBK" w:cs="方正仿宋_GBK"/>
          <w:b w:val="0"/>
          <w:bCs w:val="0"/>
          <w:sz w:val="32"/>
          <w:szCs w:val="32"/>
        </w:rPr>
        <w:t>最低的竞选人确定为成交人，所报</w:t>
      </w:r>
      <w:r>
        <w:rPr>
          <w:rFonts w:hint="eastAsia" w:ascii="方正仿宋_GBK" w:hAnsi="方正仿宋_GBK" w:eastAsia="方正仿宋_GBK" w:cs="方正仿宋_GBK"/>
          <w:b w:val="0"/>
          <w:bCs w:val="0"/>
          <w:sz w:val="32"/>
          <w:szCs w:val="32"/>
          <w:lang w:eastAsia="zh-CN"/>
        </w:rPr>
        <w:t>总价</w:t>
      </w:r>
      <w:r>
        <w:rPr>
          <w:rFonts w:hint="eastAsia" w:ascii="方正仿宋_GBK" w:hAnsi="方正仿宋_GBK" w:eastAsia="方正仿宋_GBK" w:cs="方正仿宋_GBK"/>
          <w:b w:val="0"/>
          <w:bCs w:val="0"/>
          <w:sz w:val="32"/>
          <w:szCs w:val="32"/>
        </w:rPr>
        <w:t>即为合同价格，竞选人未在规定时限或未按照要求提交报价的，取消竞选人竞选资格。</w:t>
      </w:r>
    </w:p>
    <w:p>
      <w:pPr>
        <w:pStyle w:val="2"/>
        <w:numPr>
          <w:ilvl w:val="0"/>
          <w:numId w:val="1"/>
        </w:numPr>
        <w:spacing w:line="600" w:lineRule="exact"/>
        <w:ind w:firstLine="640" w:firstLineChars="200"/>
        <w:jc w:val="left"/>
        <w:rPr>
          <w:rFonts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报价文件要求</w:t>
      </w:r>
    </w:p>
    <w:p>
      <w:pPr>
        <w:numPr>
          <w:ilvl w:val="0"/>
          <w:numId w:val="3"/>
        </w:numPr>
        <w:snapToGrid w:val="0"/>
        <w:spacing w:line="600" w:lineRule="exact"/>
        <w:ind w:firstLine="640" w:firstLineChars="200"/>
        <w:jc w:val="left"/>
        <w:rPr>
          <w:rFonts w:ascii="方正仿宋_GBK" w:hAnsi="方正仿宋_GBK" w:cs="方正仿宋_GBK"/>
          <w:szCs w:val="32"/>
        </w:rPr>
      </w:pPr>
      <w:r>
        <w:rPr>
          <w:rFonts w:hint="eastAsia" w:ascii="方正仿宋_GBK" w:hAnsi="方正仿宋_GBK" w:cs="方正仿宋_GBK"/>
          <w:szCs w:val="32"/>
        </w:rPr>
        <w:t>竞选人需提供书面的签字盖章的报价文件，竞选人的报价为一次性报价，不得提交选择性报价。</w:t>
      </w:r>
    </w:p>
    <w:p>
      <w:pPr>
        <w:widowControl/>
        <w:numPr>
          <w:ilvl w:val="0"/>
          <w:numId w:val="3"/>
        </w:numPr>
        <w:tabs>
          <w:tab w:val="left" w:pos="425"/>
        </w:tabs>
        <w:spacing w:line="600" w:lineRule="exact"/>
        <w:ind w:firstLine="640" w:firstLineChars="200"/>
        <w:jc w:val="left"/>
        <w:rPr>
          <w:rFonts w:ascii="方正仿宋_GBK" w:hAnsi="方正仿宋_GBK" w:cs="方正仿宋_GBK"/>
          <w:szCs w:val="32"/>
        </w:rPr>
      </w:pPr>
      <w:r>
        <w:rPr>
          <w:rFonts w:hint="eastAsia" w:ascii="方正仿宋_GBK" w:hAnsi="方正仿宋_GBK" w:cs="方正仿宋_GBK"/>
          <w:szCs w:val="32"/>
        </w:rPr>
        <w:t>本次竞价设定总价最高限价</w:t>
      </w:r>
      <w:r>
        <w:rPr>
          <w:rFonts w:hint="eastAsia" w:ascii="方正仿宋_GBK" w:hAnsi="方正仿宋_GBK" w:cs="方正仿宋_GBK"/>
          <w:szCs w:val="32"/>
          <w:u w:val="single"/>
        </w:rPr>
        <w:t xml:space="preserve"> </w:t>
      </w:r>
      <w:r>
        <w:rPr>
          <w:rFonts w:hint="eastAsia" w:ascii="方正仿宋_GBK" w:hAnsi="方正仿宋_GBK" w:cs="方正仿宋_GBK"/>
          <w:szCs w:val="32"/>
          <w:u w:val="single"/>
          <w:lang w:val="en-US" w:eastAsia="zh-CN"/>
        </w:rPr>
        <w:t>32.7</w:t>
      </w:r>
      <w:r>
        <w:rPr>
          <w:rFonts w:hint="eastAsia" w:ascii="方正仿宋_GBK" w:hAnsi="方正仿宋_GBK" w:cs="方正仿宋_GBK"/>
          <w:szCs w:val="32"/>
        </w:rPr>
        <w:t>万元（不含税）；竞选人的报价不得超过最高限价，超过最高限价的否决其报价。</w:t>
      </w:r>
    </w:p>
    <w:p>
      <w:pPr>
        <w:pStyle w:val="3"/>
        <w:rPr>
          <w:rFonts w:cs="宋体"/>
          <w:sz w:val="30"/>
          <w:szCs w:val="30"/>
        </w:rPr>
      </w:pPr>
      <w:r>
        <w:rPr>
          <w:rFonts w:hint="eastAsia" w:cs="宋体"/>
          <w:sz w:val="30"/>
          <w:szCs w:val="30"/>
        </w:rPr>
        <w:t>四、报价格式</w:t>
      </w:r>
    </w:p>
    <w:p>
      <w:pPr>
        <w:widowControl/>
        <w:tabs>
          <w:tab w:val="left" w:pos="425"/>
        </w:tabs>
        <w:spacing w:line="600" w:lineRule="exact"/>
        <w:ind w:left="640" w:leftChars="200"/>
        <w:jc w:val="left"/>
        <w:rPr>
          <w:rFonts w:ascii="方正仿宋_GBK" w:hAnsi="方正仿宋_GBK" w:cs="方正仿宋_GBK"/>
          <w:szCs w:val="32"/>
        </w:rPr>
      </w:pPr>
      <w:r>
        <w:rPr>
          <w:rFonts w:hint="eastAsia" w:ascii="方正仿宋_GBK" w:hAnsi="方正仿宋_GBK" w:cs="方正仿宋_GBK"/>
          <w:szCs w:val="32"/>
        </w:rPr>
        <w:t>1、竞选人报价格式见下表：</w:t>
      </w:r>
    </w:p>
    <w:p>
      <w:pPr>
        <w:pStyle w:val="3"/>
        <w:ind w:firstLine="3614" w:firstLineChars="1200"/>
        <w:jc w:val="both"/>
        <w:rPr>
          <w:rFonts w:cs="宋体"/>
          <w:sz w:val="30"/>
          <w:szCs w:val="30"/>
        </w:rPr>
      </w:pPr>
      <w:r>
        <w:rPr>
          <w:rFonts w:hint="eastAsia" w:cs="宋体"/>
          <w:sz w:val="30"/>
          <w:szCs w:val="30"/>
        </w:rPr>
        <w:t>（一）报价单</w:t>
      </w:r>
    </w:p>
    <w:p>
      <w:pPr>
        <w:widowControl/>
        <w:tabs>
          <w:tab w:val="left" w:pos="425"/>
        </w:tabs>
        <w:spacing w:line="600" w:lineRule="exact"/>
        <w:jc w:val="left"/>
        <w:rPr>
          <w:rFonts w:ascii="方正仿宋_GBK" w:hAnsi="方正仿宋_GBK" w:cs="方正仿宋_GBK"/>
          <w:szCs w:val="32"/>
        </w:rPr>
      </w:pPr>
      <w:r>
        <w:rPr>
          <w:rFonts w:hint="eastAsia" w:ascii="方正仿宋_GBK" w:hAnsi="方正仿宋_GBK" w:cs="方正仿宋_GBK"/>
          <w:szCs w:val="32"/>
        </w:rPr>
        <w:t>采购项目名称：</w:t>
      </w:r>
      <w:r>
        <w:rPr>
          <w:rFonts w:hint="eastAsia" w:ascii="方正仿宋_GBK" w:hAnsi="方正仿宋_GBK" w:cs="方正仿宋_GBK"/>
          <w:bCs/>
          <w:snapToGrid w:val="0"/>
          <w:sz w:val="28"/>
          <w:szCs w:val="28"/>
        </w:rPr>
        <w:t>西永站泊位溜槽技术改造项目</w:t>
      </w:r>
    </w:p>
    <w:tbl>
      <w:tblPr>
        <w:tblStyle w:val="9"/>
        <w:tblpPr w:leftFromText="180" w:rightFromText="180" w:vertAnchor="text" w:horzAnchor="page" w:tblpX="1125" w:tblpY="485"/>
        <w:tblOverlap w:val="never"/>
        <w:tblW w:w="10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959"/>
        <w:gridCol w:w="1262"/>
        <w:gridCol w:w="1414"/>
        <w:gridCol w:w="1917"/>
        <w:gridCol w:w="1100"/>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trPr>
        <w:tc>
          <w:tcPr>
            <w:tcW w:w="885"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序号</w:t>
            </w:r>
          </w:p>
        </w:tc>
        <w:tc>
          <w:tcPr>
            <w:tcW w:w="1959"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服务内容</w:t>
            </w:r>
          </w:p>
        </w:tc>
        <w:tc>
          <w:tcPr>
            <w:tcW w:w="1262"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数量</w:t>
            </w:r>
          </w:p>
        </w:tc>
        <w:tc>
          <w:tcPr>
            <w:tcW w:w="1414"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单价（元）</w:t>
            </w:r>
          </w:p>
        </w:tc>
        <w:tc>
          <w:tcPr>
            <w:tcW w:w="1917" w:type="dxa"/>
            <w:vAlign w:val="center"/>
          </w:tcPr>
          <w:p>
            <w:pPr>
              <w:snapToGrid w:val="0"/>
              <w:spacing w:line="320" w:lineRule="exact"/>
              <w:rPr>
                <w:rFonts w:ascii="方正仿宋_GBK" w:hAnsi="方正仿宋_GBK" w:cs="方正仿宋_GBK"/>
                <w:sz w:val="24"/>
                <w:szCs w:val="24"/>
              </w:rPr>
            </w:pPr>
            <w:r>
              <w:rPr>
                <w:rFonts w:hint="eastAsia" w:ascii="方正仿宋_GBK" w:hAnsi="方正仿宋_GBK" w:cs="方正仿宋_GBK"/>
                <w:sz w:val="24"/>
                <w:szCs w:val="24"/>
              </w:rPr>
              <w:t>合计报价（小写）</w:t>
            </w:r>
          </w:p>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单位（元）</w:t>
            </w:r>
          </w:p>
        </w:tc>
        <w:tc>
          <w:tcPr>
            <w:tcW w:w="1100" w:type="dxa"/>
            <w:tcBorders>
              <w:bottom w:val="single" w:color="auto" w:sz="4" w:space="0"/>
            </w:tcBorders>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税率</w:t>
            </w:r>
          </w:p>
        </w:tc>
        <w:tc>
          <w:tcPr>
            <w:tcW w:w="1753"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服务地点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8" w:hRule="atLeast"/>
        </w:trPr>
        <w:tc>
          <w:tcPr>
            <w:tcW w:w="885"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1</w:t>
            </w:r>
          </w:p>
        </w:tc>
        <w:tc>
          <w:tcPr>
            <w:tcW w:w="1959" w:type="dxa"/>
            <w:vAlign w:val="center"/>
          </w:tcPr>
          <w:p>
            <w:pPr>
              <w:snapToGrid w:val="0"/>
              <w:spacing w:line="320" w:lineRule="exact"/>
              <w:jc w:val="center"/>
              <w:rPr>
                <w:rFonts w:ascii="方正仿宋_GBK" w:hAnsi="方正仿宋_GBK" w:cs="方正仿宋_GBK"/>
                <w:sz w:val="28"/>
                <w:szCs w:val="28"/>
              </w:rPr>
            </w:pPr>
            <w:r>
              <w:rPr>
                <w:rFonts w:hint="eastAsia" w:ascii="方正仿宋_GBK" w:hAnsi="方正仿宋_GBK" w:cs="方正仿宋_GBK"/>
                <w:sz w:val="28"/>
                <w:szCs w:val="28"/>
              </w:rPr>
              <w:t>西永站复合溜槽技术改造</w:t>
            </w:r>
          </w:p>
        </w:tc>
        <w:tc>
          <w:tcPr>
            <w:tcW w:w="1262"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2</w:t>
            </w:r>
          </w:p>
        </w:tc>
        <w:tc>
          <w:tcPr>
            <w:tcW w:w="1414" w:type="dxa"/>
            <w:vAlign w:val="center"/>
          </w:tcPr>
          <w:p>
            <w:pPr>
              <w:spacing w:line="320" w:lineRule="exact"/>
              <w:jc w:val="center"/>
              <w:rPr>
                <w:rFonts w:ascii="方正仿宋_GBK" w:hAnsi="方正仿宋_GBK" w:cs="方正仿宋_GBK"/>
                <w:sz w:val="24"/>
                <w:szCs w:val="24"/>
              </w:rPr>
            </w:pPr>
          </w:p>
        </w:tc>
        <w:tc>
          <w:tcPr>
            <w:tcW w:w="1917" w:type="dxa"/>
            <w:tcBorders>
              <w:right w:val="single" w:color="auto" w:sz="4" w:space="0"/>
            </w:tcBorders>
            <w:vAlign w:val="center"/>
          </w:tcPr>
          <w:p>
            <w:pPr>
              <w:spacing w:line="320" w:lineRule="exact"/>
              <w:rPr>
                <w:rFonts w:ascii="方正仿宋_GBK" w:hAnsi="方正仿宋_GBK" w:cs="方正仿宋_GBK"/>
                <w:sz w:val="24"/>
                <w:szCs w:val="24"/>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方正仿宋_GBK" w:hAnsi="方正仿宋_GBK" w:cs="方正仿宋_GBK"/>
                <w:sz w:val="24"/>
                <w:szCs w:val="24"/>
              </w:rPr>
            </w:pPr>
          </w:p>
        </w:tc>
        <w:tc>
          <w:tcPr>
            <w:tcW w:w="1753" w:type="dxa"/>
            <w:tcBorders>
              <w:left w:val="single" w:color="auto" w:sz="4" w:space="0"/>
              <w:bottom w:val="single" w:color="auto" w:sz="4" w:space="0"/>
            </w:tcBorders>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lang w:val="en-US" w:eastAsia="zh-CN"/>
              </w:rPr>
              <w:t>西永站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8" w:hRule="atLeast"/>
        </w:trPr>
        <w:tc>
          <w:tcPr>
            <w:tcW w:w="885"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2</w:t>
            </w:r>
          </w:p>
        </w:tc>
        <w:tc>
          <w:tcPr>
            <w:tcW w:w="1959" w:type="dxa"/>
            <w:vAlign w:val="center"/>
          </w:tcPr>
          <w:p>
            <w:pPr>
              <w:snapToGrid w:val="0"/>
              <w:spacing w:line="320" w:lineRule="exact"/>
              <w:jc w:val="center"/>
              <w:rPr>
                <w:rFonts w:ascii="方正仿宋_GBK" w:hAnsi="方正仿宋_GBK" w:cs="方正仿宋_GBK"/>
                <w:bCs/>
                <w:snapToGrid w:val="0"/>
                <w:sz w:val="28"/>
                <w:szCs w:val="28"/>
              </w:rPr>
            </w:pPr>
            <w:r>
              <w:rPr>
                <w:rFonts w:hint="eastAsia" w:ascii="方正仿宋_GBK" w:hAnsi="方正仿宋_GBK" w:cs="方正仿宋_GBK"/>
                <w:sz w:val="28"/>
                <w:szCs w:val="28"/>
              </w:rPr>
              <w:t>西永站</w:t>
            </w:r>
            <w:r>
              <w:rPr>
                <w:rFonts w:hint="eastAsia" w:ascii="方正仿宋_GBK" w:hAnsi="方正仿宋_GBK" w:cs="方正仿宋_GBK"/>
                <w:sz w:val="28"/>
                <w:szCs w:val="28"/>
                <w:lang w:val="en-US" w:eastAsia="zh-CN"/>
              </w:rPr>
              <w:t>生活溜槽</w:t>
            </w:r>
            <w:r>
              <w:rPr>
                <w:rFonts w:hint="eastAsia" w:ascii="方正仿宋_GBK" w:hAnsi="方正仿宋_GBK" w:cs="方正仿宋_GBK"/>
                <w:sz w:val="28"/>
                <w:szCs w:val="28"/>
              </w:rPr>
              <w:t>溜槽技术改造</w:t>
            </w:r>
          </w:p>
        </w:tc>
        <w:tc>
          <w:tcPr>
            <w:tcW w:w="1262" w:type="dxa"/>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rPr>
              <w:t>2</w:t>
            </w:r>
          </w:p>
        </w:tc>
        <w:tc>
          <w:tcPr>
            <w:tcW w:w="1414" w:type="dxa"/>
            <w:vAlign w:val="center"/>
          </w:tcPr>
          <w:p>
            <w:pPr>
              <w:spacing w:line="320" w:lineRule="exact"/>
              <w:jc w:val="center"/>
              <w:rPr>
                <w:rFonts w:ascii="方正仿宋_GBK" w:hAnsi="方正仿宋_GBK" w:cs="方正仿宋_GBK"/>
                <w:sz w:val="24"/>
                <w:szCs w:val="24"/>
              </w:rPr>
            </w:pPr>
          </w:p>
        </w:tc>
        <w:tc>
          <w:tcPr>
            <w:tcW w:w="1917" w:type="dxa"/>
            <w:tcBorders>
              <w:right w:val="single" w:color="auto" w:sz="4" w:space="0"/>
            </w:tcBorders>
            <w:vAlign w:val="center"/>
          </w:tcPr>
          <w:p>
            <w:pPr>
              <w:spacing w:line="320" w:lineRule="exact"/>
              <w:rPr>
                <w:rFonts w:ascii="方正仿宋_GBK" w:hAnsi="方正仿宋_GBK" w:cs="方正仿宋_GBK"/>
                <w:sz w:val="24"/>
                <w:szCs w:val="24"/>
              </w:rPr>
            </w:pPr>
          </w:p>
        </w:tc>
        <w:tc>
          <w:tcPr>
            <w:tcW w:w="110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方正仿宋_GBK" w:hAnsi="方正仿宋_GBK" w:cs="方正仿宋_GBK"/>
                <w:sz w:val="24"/>
                <w:szCs w:val="24"/>
              </w:rPr>
            </w:pPr>
          </w:p>
        </w:tc>
        <w:tc>
          <w:tcPr>
            <w:tcW w:w="1753" w:type="dxa"/>
            <w:tcBorders>
              <w:left w:val="single" w:color="auto" w:sz="4" w:space="0"/>
              <w:bottom w:val="single" w:color="auto" w:sz="4" w:space="0"/>
            </w:tcBorders>
            <w:vAlign w:val="center"/>
          </w:tcPr>
          <w:p>
            <w:pPr>
              <w:spacing w:line="320" w:lineRule="exact"/>
              <w:jc w:val="center"/>
              <w:rPr>
                <w:rFonts w:ascii="方正仿宋_GBK" w:hAnsi="方正仿宋_GBK" w:cs="方正仿宋_GBK"/>
                <w:sz w:val="24"/>
                <w:szCs w:val="24"/>
              </w:rPr>
            </w:pPr>
            <w:r>
              <w:rPr>
                <w:rFonts w:hint="eastAsia" w:ascii="方正仿宋_GBK" w:hAnsi="方正仿宋_GBK" w:cs="方正仿宋_GBK"/>
                <w:sz w:val="24"/>
                <w:szCs w:val="24"/>
                <w:lang w:val="en-US" w:eastAsia="zh-CN"/>
              </w:rPr>
              <w:t>西永站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5520" w:type="dxa"/>
            <w:gridSpan w:val="4"/>
            <w:tcBorders>
              <w:bottom w:val="single" w:color="auto" w:sz="4" w:space="0"/>
            </w:tcBorders>
            <w:vAlign w:val="center"/>
          </w:tcPr>
          <w:p>
            <w:pPr>
              <w:spacing w:line="320" w:lineRule="exact"/>
              <w:ind w:firstLine="1920" w:firstLineChars="800"/>
              <w:rPr>
                <w:rFonts w:ascii="方正仿宋_GBK" w:hAnsi="方正仿宋_GBK" w:cs="方正仿宋_GBK"/>
                <w:sz w:val="24"/>
                <w:szCs w:val="24"/>
              </w:rPr>
            </w:pPr>
            <w:r>
              <w:rPr>
                <w:rFonts w:hint="eastAsia" w:ascii="方正仿宋_GBK" w:hAnsi="方正仿宋_GBK" w:cs="方正仿宋_GBK"/>
                <w:sz w:val="24"/>
                <w:szCs w:val="24"/>
              </w:rPr>
              <w:t>不含税</w:t>
            </w:r>
            <w:r>
              <w:rPr>
                <w:rFonts w:hint="eastAsia" w:ascii="方正仿宋_GBK" w:hAnsi="方正仿宋_GBK" w:cs="方正仿宋_GBK"/>
                <w:sz w:val="24"/>
                <w:szCs w:val="24"/>
                <w:lang w:eastAsia="zh-CN"/>
              </w:rPr>
              <w:t>总</w:t>
            </w:r>
            <w:r>
              <w:rPr>
                <w:rFonts w:hint="eastAsia" w:ascii="方正仿宋_GBK" w:hAnsi="方正仿宋_GBK" w:cs="方正仿宋_GBK"/>
                <w:sz w:val="24"/>
                <w:szCs w:val="24"/>
              </w:rPr>
              <w:t>价</w:t>
            </w:r>
          </w:p>
        </w:tc>
        <w:tc>
          <w:tcPr>
            <w:tcW w:w="4770" w:type="dxa"/>
            <w:gridSpan w:val="3"/>
            <w:tcBorders>
              <w:bottom w:val="single" w:color="auto" w:sz="4" w:space="0"/>
            </w:tcBorders>
          </w:tcPr>
          <w:p>
            <w:pPr>
              <w:spacing w:line="320" w:lineRule="exact"/>
              <w:rPr>
                <w:rFonts w:ascii="方正仿宋_GBK" w:hAnsi="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trPr>
        <w:tc>
          <w:tcPr>
            <w:tcW w:w="5520" w:type="dxa"/>
            <w:gridSpan w:val="4"/>
            <w:tcBorders>
              <w:bottom w:val="single" w:color="auto" w:sz="4" w:space="0"/>
            </w:tcBorders>
            <w:vAlign w:val="center"/>
          </w:tcPr>
          <w:p>
            <w:pPr>
              <w:spacing w:line="320" w:lineRule="exact"/>
              <w:ind w:firstLine="1920" w:firstLineChars="800"/>
              <w:rPr>
                <w:rFonts w:ascii="方正仿宋_GBK" w:hAnsi="方正仿宋_GBK" w:cs="方正仿宋_GBK"/>
                <w:sz w:val="24"/>
                <w:szCs w:val="24"/>
              </w:rPr>
            </w:pPr>
            <w:r>
              <w:rPr>
                <w:rFonts w:hint="eastAsia" w:ascii="方正仿宋_GBK" w:hAnsi="方正仿宋_GBK" w:cs="方正仿宋_GBK"/>
                <w:sz w:val="24"/>
                <w:szCs w:val="24"/>
              </w:rPr>
              <w:t>税费</w:t>
            </w:r>
          </w:p>
        </w:tc>
        <w:tc>
          <w:tcPr>
            <w:tcW w:w="4770" w:type="dxa"/>
            <w:gridSpan w:val="3"/>
            <w:tcBorders>
              <w:bottom w:val="single" w:color="auto" w:sz="4" w:space="0"/>
            </w:tcBorders>
          </w:tcPr>
          <w:p>
            <w:pPr>
              <w:spacing w:line="320" w:lineRule="exact"/>
              <w:rPr>
                <w:rFonts w:ascii="方正仿宋_GBK" w:hAnsi="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5520" w:type="dxa"/>
            <w:gridSpan w:val="4"/>
            <w:tcBorders>
              <w:bottom w:val="single" w:color="auto" w:sz="4" w:space="0"/>
            </w:tcBorders>
            <w:vAlign w:val="center"/>
          </w:tcPr>
          <w:p>
            <w:pPr>
              <w:spacing w:line="320" w:lineRule="exact"/>
              <w:ind w:firstLine="1920" w:firstLineChars="800"/>
              <w:rPr>
                <w:rFonts w:ascii="方正仿宋_GBK" w:hAnsi="方正仿宋_GBK" w:cs="方正仿宋_GBK"/>
                <w:sz w:val="24"/>
                <w:szCs w:val="24"/>
              </w:rPr>
            </w:pPr>
            <w:r>
              <w:rPr>
                <w:rFonts w:hint="eastAsia" w:ascii="方正仿宋_GBK" w:hAnsi="方正仿宋_GBK" w:cs="方正仿宋_GBK"/>
                <w:sz w:val="24"/>
                <w:szCs w:val="24"/>
              </w:rPr>
              <w:t>总价（不含税</w:t>
            </w:r>
            <w:r>
              <w:rPr>
                <w:rFonts w:hint="eastAsia" w:ascii="方正仿宋_GBK" w:hAnsi="方正仿宋_GBK" w:cs="方正仿宋_GBK"/>
                <w:sz w:val="24"/>
                <w:szCs w:val="24"/>
                <w:lang w:eastAsia="zh-CN"/>
              </w:rPr>
              <w:t>总价</w:t>
            </w:r>
            <w:r>
              <w:rPr>
                <w:rFonts w:hint="eastAsia" w:ascii="方正仿宋_GBK" w:hAnsi="方正仿宋_GBK" w:cs="方正仿宋_GBK"/>
                <w:sz w:val="24"/>
                <w:szCs w:val="24"/>
              </w:rPr>
              <w:t>+税费）</w:t>
            </w:r>
          </w:p>
        </w:tc>
        <w:tc>
          <w:tcPr>
            <w:tcW w:w="4770" w:type="dxa"/>
            <w:gridSpan w:val="3"/>
            <w:tcBorders>
              <w:bottom w:val="single" w:color="auto" w:sz="4" w:space="0"/>
            </w:tcBorders>
          </w:tcPr>
          <w:p>
            <w:pPr>
              <w:spacing w:line="320" w:lineRule="exact"/>
              <w:rPr>
                <w:rFonts w:ascii="方正仿宋_GBK" w:hAnsi="方正仿宋_GBK" w:cs="方正仿宋_GBK"/>
                <w:sz w:val="24"/>
                <w:szCs w:val="24"/>
              </w:rPr>
            </w:pPr>
          </w:p>
        </w:tc>
      </w:tr>
    </w:tbl>
    <w:p>
      <w:pPr>
        <w:spacing w:line="500" w:lineRule="exact"/>
        <w:rPr>
          <w:rFonts w:ascii="方正仿宋_GBK" w:hAnsi="方正仿宋_GBK" w:cs="方正仿宋_GBK"/>
          <w:sz w:val="24"/>
          <w:szCs w:val="28"/>
        </w:rPr>
      </w:pPr>
    </w:p>
    <w:p>
      <w:pPr>
        <w:spacing w:line="440" w:lineRule="exact"/>
        <w:jc w:val="right"/>
        <w:rPr>
          <w:rFonts w:ascii="方正仿宋_GBK" w:hAnsi="方正仿宋_GBK" w:cs="方正仿宋_GBK"/>
          <w:sz w:val="24"/>
          <w:szCs w:val="28"/>
        </w:rPr>
      </w:pPr>
      <w:r>
        <w:rPr>
          <w:rFonts w:hint="eastAsia" w:ascii="方正仿宋_GBK" w:hAnsi="方正仿宋_GBK" w:cs="方正仿宋_GBK"/>
          <w:sz w:val="24"/>
          <w:szCs w:val="28"/>
        </w:rPr>
        <w:t xml:space="preserve"> 竞选人：</w:t>
      </w:r>
      <w:r>
        <w:rPr>
          <w:rFonts w:hint="eastAsia" w:ascii="方正仿宋_GBK" w:hAnsi="方正仿宋_GBK" w:cs="方正仿宋_GBK"/>
          <w:sz w:val="24"/>
          <w:szCs w:val="28"/>
          <w:u w:val="single"/>
        </w:rPr>
        <w:t xml:space="preserve">  (报价单位名称）   </w:t>
      </w:r>
      <w:r>
        <w:rPr>
          <w:rFonts w:hint="eastAsia" w:ascii="方正仿宋_GBK" w:hAnsi="方正仿宋_GBK" w:cs="方正仿宋_GBK"/>
          <w:sz w:val="24"/>
          <w:szCs w:val="28"/>
        </w:rPr>
        <w:t>（盖单位公章）</w:t>
      </w:r>
    </w:p>
    <w:p>
      <w:pPr>
        <w:spacing w:line="440" w:lineRule="exact"/>
        <w:jc w:val="right"/>
        <w:rPr>
          <w:rFonts w:ascii="方正仿宋_GBK" w:hAnsi="方正仿宋_GBK" w:cs="方正仿宋_GBK"/>
          <w:sz w:val="24"/>
          <w:szCs w:val="28"/>
        </w:rPr>
      </w:pPr>
      <w:r>
        <w:rPr>
          <w:rFonts w:hint="eastAsia" w:ascii="方正仿宋_GBK" w:hAnsi="方正仿宋_GBK" w:cs="方正仿宋_GBK"/>
          <w:sz w:val="24"/>
          <w:szCs w:val="28"/>
        </w:rPr>
        <w:t>法定代表人或其委托代理人：</w:t>
      </w:r>
      <w:r>
        <w:rPr>
          <w:rFonts w:hint="eastAsia" w:ascii="方正仿宋_GBK" w:hAnsi="方正仿宋_GBK" w:cs="方正仿宋_GBK"/>
          <w:sz w:val="24"/>
          <w:szCs w:val="28"/>
          <w:u w:val="single"/>
        </w:rPr>
        <w:t xml:space="preserve">  （签字）    </w:t>
      </w:r>
      <w:r>
        <w:rPr>
          <w:rFonts w:hint="eastAsia" w:ascii="方正仿宋_GBK" w:hAnsi="方正仿宋_GBK" w:cs="方正仿宋_GBK"/>
          <w:sz w:val="24"/>
          <w:szCs w:val="28"/>
          <w:u w:val="single"/>
        </w:rPr>
        <w:tab/>
      </w:r>
    </w:p>
    <w:p>
      <w:pPr>
        <w:spacing w:line="440" w:lineRule="exact"/>
        <w:jc w:val="right"/>
      </w:pPr>
      <w:r>
        <w:rPr>
          <w:rFonts w:hint="eastAsia" w:ascii="方正仿宋_GBK" w:hAnsi="方正仿宋_GBK" w:cs="方正仿宋_GBK"/>
          <w:sz w:val="24"/>
          <w:szCs w:val="28"/>
          <w:u w:val="single"/>
        </w:rPr>
        <w:t xml:space="preserve">    </w:t>
      </w:r>
      <w:r>
        <w:rPr>
          <w:rFonts w:hint="eastAsia" w:ascii="方正仿宋_GBK" w:hAnsi="方正仿宋_GBK" w:cs="方正仿宋_GBK"/>
          <w:sz w:val="24"/>
          <w:szCs w:val="28"/>
        </w:rPr>
        <w:t>年</w:t>
      </w:r>
      <w:r>
        <w:rPr>
          <w:rFonts w:hint="eastAsia" w:ascii="方正仿宋_GBK" w:hAnsi="方正仿宋_GBK" w:cs="方正仿宋_GBK"/>
          <w:sz w:val="24"/>
          <w:szCs w:val="28"/>
          <w:u w:val="single"/>
        </w:rPr>
        <w:t xml:space="preserve">    </w:t>
      </w:r>
      <w:r>
        <w:rPr>
          <w:rFonts w:hint="eastAsia" w:ascii="方正仿宋_GBK" w:hAnsi="方正仿宋_GBK" w:cs="方正仿宋_GBK"/>
          <w:sz w:val="24"/>
          <w:szCs w:val="28"/>
        </w:rPr>
        <w:t>月</w:t>
      </w:r>
      <w:r>
        <w:rPr>
          <w:rFonts w:hint="eastAsia" w:ascii="方正仿宋_GBK" w:hAnsi="方正仿宋_GBK" w:cs="方正仿宋_GBK"/>
          <w:sz w:val="24"/>
          <w:szCs w:val="28"/>
          <w:u w:val="single"/>
        </w:rPr>
        <w:t xml:space="preserve">    </w:t>
      </w:r>
      <w:r>
        <w:rPr>
          <w:rFonts w:hint="eastAsia" w:ascii="方正仿宋_GBK" w:hAnsi="方正仿宋_GBK" w:cs="方正仿宋_GBK"/>
          <w:sz w:val="24"/>
          <w:szCs w:val="28"/>
        </w:rPr>
        <w:t>日</w:t>
      </w:r>
    </w:p>
    <w:sectPr>
      <w:pgSz w:w="11906" w:h="16838"/>
      <w:pgMar w:top="2098" w:right="1474" w:bottom="1984" w:left="1587" w:header="851" w:footer="992" w:gutter="0"/>
      <w:cols w:space="0" w:num="1"/>
      <w:docGrid w:type="lines" w:linePitch="46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P Ming Li U">
    <w:altName w:val="宋体"/>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3E1C70"/>
    <w:multiLevelType w:val="singleLevel"/>
    <w:tmpl w:val="9F3E1C70"/>
    <w:lvl w:ilvl="0" w:tentative="0">
      <w:start w:val="1"/>
      <w:numFmt w:val="decimal"/>
      <w:lvlText w:val="%1."/>
      <w:lvlJc w:val="left"/>
      <w:pPr>
        <w:tabs>
          <w:tab w:val="left" w:pos="312"/>
        </w:tabs>
      </w:pPr>
    </w:lvl>
  </w:abstractNum>
  <w:abstractNum w:abstractNumId="1">
    <w:nsid w:val="A70BA6B3"/>
    <w:multiLevelType w:val="singleLevel"/>
    <w:tmpl w:val="A70BA6B3"/>
    <w:lvl w:ilvl="0" w:tentative="0">
      <w:start w:val="1"/>
      <w:numFmt w:val="decimal"/>
      <w:suff w:val="nothing"/>
      <w:lvlText w:val="%1、"/>
      <w:lvlJc w:val="left"/>
    </w:lvl>
  </w:abstractNum>
  <w:abstractNum w:abstractNumId="2">
    <w:nsid w:val="69FB0466"/>
    <w:multiLevelType w:val="singleLevel"/>
    <w:tmpl w:val="69FB0466"/>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3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2OWY0Y2I1NzUzZjRkMGFkMGI0MTMxODc0ZTllZjEifQ=="/>
  </w:docVars>
  <w:rsids>
    <w:rsidRoot w:val="4DA06003"/>
    <w:rsid w:val="0010152D"/>
    <w:rsid w:val="002249E9"/>
    <w:rsid w:val="002A7952"/>
    <w:rsid w:val="00316A47"/>
    <w:rsid w:val="005837A0"/>
    <w:rsid w:val="005D659F"/>
    <w:rsid w:val="00632A04"/>
    <w:rsid w:val="009C70D3"/>
    <w:rsid w:val="00AD4FDD"/>
    <w:rsid w:val="00B47CBE"/>
    <w:rsid w:val="00B860E4"/>
    <w:rsid w:val="00EA5A46"/>
    <w:rsid w:val="018F1538"/>
    <w:rsid w:val="02751D52"/>
    <w:rsid w:val="04351303"/>
    <w:rsid w:val="049B2A3B"/>
    <w:rsid w:val="09A10816"/>
    <w:rsid w:val="0B617F6D"/>
    <w:rsid w:val="0C3E353A"/>
    <w:rsid w:val="0CB01599"/>
    <w:rsid w:val="0F6E1B0B"/>
    <w:rsid w:val="153505A5"/>
    <w:rsid w:val="153C7707"/>
    <w:rsid w:val="15D65E8F"/>
    <w:rsid w:val="16D91317"/>
    <w:rsid w:val="19F25193"/>
    <w:rsid w:val="1D915EB4"/>
    <w:rsid w:val="1DF868D1"/>
    <w:rsid w:val="207350DC"/>
    <w:rsid w:val="23D71E0F"/>
    <w:rsid w:val="24DF1F64"/>
    <w:rsid w:val="25175C3A"/>
    <w:rsid w:val="25FD17C4"/>
    <w:rsid w:val="282F380E"/>
    <w:rsid w:val="28D31856"/>
    <w:rsid w:val="2A8B01AD"/>
    <w:rsid w:val="2DC42449"/>
    <w:rsid w:val="2F1D3FB4"/>
    <w:rsid w:val="33323133"/>
    <w:rsid w:val="351B0A8D"/>
    <w:rsid w:val="376C4B50"/>
    <w:rsid w:val="37D51B88"/>
    <w:rsid w:val="389C300F"/>
    <w:rsid w:val="38E042A3"/>
    <w:rsid w:val="3B7F3675"/>
    <w:rsid w:val="42870A90"/>
    <w:rsid w:val="476C2488"/>
    <w:rsid w:val="47F1520D"/>
    <w:rsid w:val="4DA06003"/>
    <w:rsid w:val="4E3E5EE1"/>
    <w:rsid w:val="50B67311"/>
    <w:rsid w:val="513872E4"/>
    <w:rsid w:val="51E21A62"/>
    <w:rsid w:val="52E31C2B"/>
    <w:rsid w:val="540E5D45"/>
    <w:rsid w:val="55E13FF2"/>
    <w:rsid w:val="583C552E"/>
    <w:rsid w:val="5A185B07"/>
    <w:rsid w:val="5B8F601E"/>
    <w:rsid w:val="5D0841A8"/>
    <w:rsid w:val="5D7D7203"/>
    <w:rsid w:val="5F085536"/>
    <w:rsid w:val="5F8273D1"/>
    <w:rsid w:val="5FCB5512"/>
    <w:rsid w:val="60D92C1A"/>
    <w:rsid w:val="611F07E4"/>
    <w:rsid w:val="61340B9A"/>
    <w:rsid w:val="61B76844"/>
    <w:rsid w:val="62B37A1C"/>
    <w:rsid w:val="62C775C4"/>
    <w:rsid w:val="67D963B6"/>
    <w:rsid w:val="69AD360D"/>
    <w:rsid w:val="6B1540B4"/>
    <w:rsid w:val="6B7314EF"/>
    <w:rsid w:val="6B9E3D99"/>
    <w:rsid w:val="6D6D1C59"/>
    <w:rsid w:val="6E7865C3"/>
    <w:rsid w:val="71324FB4"/>
    <w:rsid w:val="73BE7BEE"/>
    <w:rsid w:val="77A94763"/>
    <w:rsid w:val="780762A6"/>
    <w:rsid w:val="7B2C0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4">
    <w:name w:val="heading 1"/>
    <w:basedOn w:val="1"/>
    <w:next w:val="1"/>
    <w:qFormat/>
    <w:uiPriority w:val="0"/>
    <w:pPr>
      <w:keepNext/>
      <w:keepLines/>
      <w:spacing w:before="340" w:after="330" w:line="578" w:lineRule="auto"/>
      <w:outlineLvl w:val="0"/>
    </w:pPr>
    <w:rPr>
      <w:rFonts w:eastAsia="宋体"/>
      <w:b/>
      <w:bCs/>
      <w:kern w:val="44"/>
      <w:sz w:val="44"/>
      <w:szCs w:val="44"/>
    </w:rPr>
  </w:style>
  <w:style w:type="paragraph" w:styleId="5">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jc w:val="center"/>
    </w:pPr>
    <w:rPr>
      <w:rFonts w:eastAsia="宋体"/>
      <w:b/>
      <w:bCs/>
      <w:sz w:val="44"/>
      <w:szCs w:val="24"/>
    </w:rPr>
  </w:style>
  <w:style w:type="paragraph" w:styleId="3">
    <w:name w:val="Body Text First Indent"/>
    <w:basedOn w:val="2"/>
    <w:qFormat/>
    <w:uiPriority w:val="0"/>
    <w:pPr>
      <w:spacing w:line="360" w:lineRule="auto"/>
      <w:ind w:firstLine="420"/>
    </w:pPr>
    <w:rPr>
      <w:rFonts w:ascii="宋体" w:hAnsi="宋体"/>
      <w:sz w:val="24"/>
    </w:rPr>
  </w:style>
  <w:style w:type="paragraph" w:styleId="6">
    <w:name w:val="Body Text Indent"/>
    <w:basedOn w:val="1"/>
    <w:unhideWhenUsed/>
    <w:qFormat/>
    <w:uiPriority w:val="0"/>
    <w:pPr>
      <w:spacing w:after="120"/>
      <w:ind w:left="420" w:leftChars="200"/>
    </w:pPr>
  </w:style>
  <w:style w:type="paragraph" w:styleId="7">
    <w:name w:val="Plain Text"/>
    <w:basedOn w:val="1"/>
    <w:qFormat/>
    <w:uiPriority w:val="0"/>
    <w:pPr>
      <w:adjustRightInd w:val="0"/>
      <w:snapToGrid w:val="0"/>
      <w:spacing w:line="360" w:lineRule="auto"/>
    </w:pPr>
    <w:rPr>
      <w:rFonts w:ascii="宋体" w:hAnsi="Courier New"/>
      <w:sz w:val="21"/>
    </w:rPr>
  </w:style>
  <w:style w:type="paragraph" w:styleId="8">
    <w:name w:val="Balloon Text"/>
    <w:basedOn w:val="1"/>
    <w:link w:val="13"/>
    <w:qFormat/>
    <w:uiPriority w:val="0"/>
    <w:rPr>
      <w:sz w:val="18"/>
      <w:szCs w:val="18"/>
    </w:rPr>
  </w:style>
  <w:style w:type="table" w:styleId="10">
    <w:name w:val="Table Grid"/>
    <w:basedOn w:val="9"/>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qFormat/>
    <w:uiPriority w:val="0"/>
    <w:pPr>
      <w:widowControl w:val="0"/>
      <w:autoSpaceDE w:val="0"/>
      <w:autoSpaceDN w:val="0"/>
      <w:adjustRightInd w:val="0"/>
    </w:pPr>
    <w:rPr>
      <w:rFonts w:ascii="P Ming Li U" w:hAnsi="Times New Roman" w:eastAsia="P Ming Li U" w:cs="P Ming Li U"/>
      <w:color w:val="000000"/>
      <w:sz w:val="24"/>
      <w:szCs w:val="24"/>
      <w:lang w:val="en-US" w:eastAsia="zh-CN" w:bidi="ar-SA"/>
    </w:rPr>
  </w:style>
  <w:style w:type="character" w:customStyle="1" w:styleId="13">
    <w:name w:val="批注框文本 Char"/>
    <w:basedOn w:val="11"/>
    <w:link w:val="8"/>
    <w:qFormat/>
    <w:uiPriority w:val="0"/>
    <w:rPr>
      <w:rFonts w:ascii="Times New Roman" w:hAnsi="Times New Roman" w:eastAsia="方正仿宋_GBK"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3964</Words>
  <Characters>4198</Characters>
  <Lines>31</Lines>
  <Paragraphs>8</Paragraphs>
  <TotalTime>12</TotalTime>
  <ScaleCrop>false</ScaleCrop>
  <LinksUpToDate>false</LinksUpToDate>
  <CharactersWithSpaces>4233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2022-09-13T05:52:00Z</dcterms:created>
  <dc:creator>大菠萝</dc:creator>
  <cp:lastModifiedBy>ccckkk</cp:lastModifiedBy>
  <cp:lastPrinted>2022-10-19T04:25:00Z</cp:lastPrinted>
  <dcterms:modified xsi:type="dcterms:W3CDTF">2022-10-24T01:16:10Z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E2C35BEA108342789F731EBCAA011DF3</vt:lpwstr>
  </property>
</Properties>
</file>