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1530"/>
          <w:tab w:val="left" w:pos="33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720" w:lineRule="exact"/>
        <w:jc w:val="center"/>
        <w:textAlignment w:val="auto"/>
        <w:rPr>
          <w:rFonts w:hint="eastAsia" w:eastAsia="方正小标宋_GBK" w:cs="Times New Roman"/>
          <w:b w:val="0"/>
          <w:bCs w:val="0"/>
          <w:color w:val="auto"/>
          <w:sz w:val="44"/>
          <w:szCs w:val="44"/>
          <w:highlight w:val="none"/>
          <w:lang w:val="en-US" w:eastAsia="zh-CN"/>
        </w:rPr>
      </w:pPr>
      <w:bookmarkStart w:id="0" w:name="_Toc110005762"/>
      <w:r>
        <w:rPr>
          <w:rFonts w:hint="eastAsia" w:eastAsia="方正小标宋_GBK" w:cs="Times New Roman"/>
          <w:b w:val="0"/>
          <w:bCs w:val="0"/>
          <w:color w:val="auto"/>
          <w:sz w:val="44"/>
          <w:szCs w:val="44"/>
          <w:highlight w:val="none"/>
          <w:lang w:val="en-US" w:eastAsia="zh-CN"/>
        </w:rPr>
        <w:t xml:space="preserve">重庆市固体废弃物处理有限公司   </w:t>
      </w:r>
    </w:p>
    <w:p>
      <w:pPr>
        <w:keepNext w:val="0"/>
        <w:keepLines w:val="0"/>
        <w:pageBreakBefore w:val="0"/>
        <w:widowControl w:val="0"/>
        <w:tabs>
          <w:tab w:val="left" w:pos="1530"/>
          <w:tab w:val="left" w:pos="33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720" w:lineRule="exact"/>
        <w:jc w:val="center"/>
        <w:textAlignment w:val="auto"/>
        <w:rPr>
          <w:rFonts w:hint="default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highlight w:val="none"/>
          <w:lang w:eastAsia="zh-CN"/>
        </w:rPr>
        <w:t>洛碛场</w:t>
      </w:r>
      <w:r>
        <w:rPr>
          <w:rFonts w:hint="eastAsia" w:eastAsia="方正小标宋_GBK" w:cs="Times New Roman"/>
          <w:b w:val="0"/>
          <w:bCs w:val="0"/>
          <w:color w:val="auto"/>
          <w:sz w:val="44"/>
          <w:szCs w:val="44"/>
          <w:highlight w:val="none"/>
          <w:lang w:val="en-US" w:eastAsia="zh-CN"/>
        </w:rPr>
        <w:t>修筑围墙</w:t>
      </w:r>
      <w:bookmarkEnd w:id="0"/>
      <w:r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highlight w:val="none"/>
          <w:lang w:eastAsia="zh-CN"/>
        </w:rPr>
        <w:t>方案</w:t>
      </w:r>
      <w:bookmarkStart w:id="1" w:name="_Toc287620668"/>
      <w:bookmarkStart w:id="2" w:name="_Toc200359428"/>
      <w:bookmarkStart w:id="3" w:name="_Toc110005764"/>
      <w:bookmarkStart w:id="4" w:name="_Toc224103300"/>
      <w:bookmarkStart w:id="5" w:name="_Toc430530417"/>
      <w:bookmarkStart w:id="6" w:name="_Toc57820543"/>
      <w:bookmarkStart w:id="7" w:name="_Toc509218693"/>
      <w:bookmarkStart w:id="8" w:name="_Toc287607729"/>
      <w:bookmarkStart w:id="9" w:name="_Toc277082537"/>
      <w:bookmarkStart w:id="10" w:name="_Toc200359239"/>
      <w:bookmarkStart w:id="11" w:name="_Toc7347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eastAsia="zh-CN"/>
        </w:rPr>
        <w:t>一</w:t>
      </w:r>
      <w:r>
        <w:rPr>
          <w:rFonts w:hint="default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</w:rPr>
        <w:t>、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rFonts w:hint="eastAsia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eastAsia="zh-CN"/>
        </w:rPr>
        <w:t>基本情况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目前，洛碛填埋场接驳区计量房至桂湾收费站方向有约300米的临时围挡，由于原施工单位留下有进出口，存在无人监管。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为加强洛碛场安全管理，提升企业形象，沿洛碛场计量房至桂湾高速方向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新修筑围墙，并与园区环场围墙保持一致。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  <w:t>二、采购工作量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洛碛场计量房修筑围墙位置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（见图1），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围墙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长度约260米、高度2.4米、厚度24公分。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工作内容主要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包括：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人工沟槽土石方开挖、C20混凝土垫层、C30混凝土地梁、C30混凝土构造柱、模板、钢筋、水泥砂浆砖墙砌筑、砖墙抹灰、围墙涂料、围墙贴砖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pStyle w:val="2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272405" cy="2731135"/>
            <wp:effectExtent l="0" t="0" r="444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2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图1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22"/>
        </w:rPr>
      </w:pPr>
      <w:r>
        <w:rPr>
          <w:rFonts w:hint="eastAsia" w:ascii="方正仿宋_GBK" w:hAnsi="方正仿宋_GBK" w:eastAsia="方正仿宋_GBK" w:cs="方正仿宋_GBK"/>
          <w:sz w:val="32"/>
          <w:szCs w:val="22"/>
        </w:rPr>
        <w:t>注：</w:t>
      </w:r>
      <w:r>
        <w:rPr>
          <w:rFonts w:hint="eastAsia" w:ascii="方正仿宋_GBK" w:hAnsi="方正仿宋_GBK" w:eastAsia="方正仿宋_GBK" w:cs="方正仿宋_GBK"/>
          <w:sz w:val="32"/>
          <w:szCs w:val="22"/>
          <w:lang w:val="en-US" w:eastAsia="zh-CN"/>
        </w:rPr>
        <w:t>洛碛场计量房围墙修筑工作</w:t>
      </w:r>
      <w:r>
        <w:rPr>
          <w:rFonts w:hint="eastAsia" w:ascii="方正仿宋_GBK" w:hAnsi="方正仿宋_GBK" w:eastAsia="方正仿宋_GBK" w:cs="方正仿宋_GBK"/>
          <w:sz w:val="32"/>
          <w:szCs w:val="22"/>
        </w:rPr>
        <w:t>，采购人有权根据实际需求调整</w:t>
      </w:r>
      <w:r>
        <w:rPr>
          <w:rFonts w:hint="eastAsia" w:ascii="方正仿宋_GBK" w:hAnsi="方正仿宋_GBK" w:eastAsia="方正仿宋_GBK" w:cs="方正仿宋_GBK"/>
          <w:sz w:val="32"/>
          <w:szCs w:val="22"/>
          <w:lang w:val="en-US" w:eastAsia="zh-CN"/>
        </w:rPr>
        <w:t>工作量</w:t>
      </w:r>
      <w:r>
        <w:rPr>
          <w:rFonts w:hint="eastAsia" w:ascii="方正仿宋_GBK" w:hAnsi="方正仿宋_GBK" w:eastAsia="方正仿宋_GBK" w:cs="方正仿宋_GBK"/>
          <w:sz w:val="32"/>
          <w:szCs w:val="2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22"/>
          <w:lang w:val="en-US" w:eastAsia="zh-CN"/>
        </w:rPr>
        <w:t>报价</w:t>
      </w:r>
      <w:r>
        <w:rPr>
          <w:rFonts w:hint="eastAsia" w:ascii="方正仿宋_GBK" w:hAnsi="方正仿宋_GBK" w:eastAsia="方正仿宋_GBK" w:cs="方正仿宋_GBK"/>
          <w:sz w:val="32"/>
          <w:szCs w:val="22"/>
        </w:rPr>
        <w:t>人应充分考虑并承担因</w:t>
      </w:r>
      <w:r>
        <w:rPr>
          <w:rFonts w:hint="eastAsia" w:ascii="方正仿宋_GBK" w:hAnsi="方正仿宋_GBK" w:eastAsia="方正仿宋_GBK" w:cs="方正仿宋_GBK"/>
          <w:sz w:val="32"/>
          <w:szCs w:val="22"/>
          <w:lang w:val="en-US" w:eastAsia="zh-CN"/>
        </w:rPr>
        <w:t>修筑工作量</w:t>
      </w:r>
      <w:r>
        <w:rPr>
          <w:rFonts w:hint="eastAsia" w:ascii="方正仿宋_GBK" w:hAnsi="方正仿宋_GBK" w:eastAsia="方正仿宋_GBK" w:cs="方正仿宋_GBK"/>
          <w:sz w:val="32"/>
          <w:szCs w:val="22"/>
        </w:rPr>
        <w:t>的调整导致的风险，并按合同</w:t>
      </w:r>
      <w:r>
        <w:rPr>
          <w:rFonts w:hint="eastAsia" w:ascii="方正仿宋_GBK" w:hAnsi="方正仿宋_GBK" w:eastAsia="方正仿宋_GBK" w:cs="方正仿宋_GBK"/>
          <w:sz w:val="32"/>
          <w:szCs w:val="22"/>
          <w:lang w:val="en-US" w:eastAsia="zh-CN"/>
        </w:rPr>
        <w:t>约定</w:t>
      </w:r>
      <w:r>
        <w:rPr>
          <w:rFonts w:hint="eastAsia" w:ascii="方正仿宋_GBK" w:hAnsi="方正仿宋_GBK" w:eastAsia="方正仿宋_GBK" w:cs="方正仿宋_GBK"/>
          <w:sz w:val="32"/>
          <w:szCs w:val="22"/>
        </w:rPr>
        <w:t>进行</w:t>
      </w:r>
      <w:r>
        <w:rPr>
          <w:rFonts w:hint="eastAsia" w:ascii="方正仿宋_GBK" w:hAnsi="方正仿宋_GBK" w:eastAsia="方正仿宋_GBK" w:cs="方正仿宋_GBK"/>
          <w:sz w:val="32"/>
          <w:szCs w:val="22"/>
          <w:lang w:val="en-US" w:eastAsia="zh-CN"/>
        </w:rPr>
        <w:t>支付</w:t>
      </w:r>
      <w:r>
        <w:rPr>
          <w:rFonts w:hint="eastAsia" w:ascii="方正仿宋_GBK" w:hAnsi="方正仿宋_GBK" w:eastAsia="方正仿宋_GBK" w:cs="方正仿宋_GBK"/>
          <w:sz w:val="32"/>
          <w:szCs w:val="22"/>
        </w:rPr>
        <w:t>结算。</w:t>
      </w:r>
    </w:p>
    <w:p>
      <w:pPr>
        <w:snapToGrid w:val="0"/>
        <w:spacing w:line="500" w:lineRule="exact"/>
        <w:ind w:firstLine="640" w:firstLineChars="200"/>
        <w:rPr>
          <w:rFonts w:hint="eastAsia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</w:pPr>
      <w:bookmarkStart w:id="12" w:name="_Toc450554244"/>
      <w:r>
        <w:rPr>
          <w:rFonts w:hint="eastAsia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  <w:t>二、踏勘现场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-59" w:rightChars="-21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报价单位可在发布公示截至日前自行踏勘现场，相关费用自理，在采购人所属区域内，因报价单位原因造成的一切事故责任或经济损失，全部由报价单位承担。</w:t>
      </w:r>
    </w:p>
    <w:p>
      <w:pPr>
        <w:snapToGrid w:val="0"/>
        <w:spacing w:line="500" w:lineRule="exact"/>
        <w:ind w:firstLine="640" w:firstLineChars="200"/>
        <w:rPr>
          <w:rFonts w:hint="default" w:ascii="方正仿宋_GBK" w:hAnsi="方正仿宋_GBK" w:eastAsia="方正仿宋_GBK" w:cs="方正仿宋_GBK"/>
          <w:b/>
          <w:sz w:val="32"/>
          <w:szCs w:val="32"/>
          <w:lang w:val="en-US"/>
        </w:rPr>
      </w:pPr>
      <w:r>
        <w:rPr>
          <w:rFonts w:hint="eastAsia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eastAsia="zh-CN"/>
        </w:rPr>
        <w:t>、工作</w:t>
      </w:r>
      <w:bookmarkEnd w:id="12"/>
      <w:r>
        <w:rPr>
          <w:rFonts w:hint="eastAsia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  <w:t>要</w:t>
      </w:r>
      <w:r>
        <w:rPr>
          <w:rFonts w:hint="eastAsia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eastAsia="zh-CN"/>
        </w:rPr>
        <w:t>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.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围墙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基础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围墙基础具体施工方式：</w:t>
      </w:r>
    </w:p>
    <w:p>
      <w:p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008120" cy="2654300"/>
            <wp:effectExtent l="0" t="0" r="11430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图一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1)人工开挖基础土石方，基础沟槽深度500mm，开挖宽度1000mm；混凝土基础浇注时要注意沟槽的清洁将回落的松散垃圾、砂浆、石子等杂物清除干净方才可以进行地梁的浇注。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）C20素混凝土基础垫层，宽度为800mm，厚度为150mm。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3）地梁混凝土标号为C30,地梁高度为350mm，宽度为600mm，地梁上部钢筋为4</w:t>
      </w:r>
      <w:r>
        <w:rPr>
          <w:rFonts w:hint="eastAsia" w:ascii="SJQY" w:hAnsi="SJQY" w:eastAsia="SJQY" w:cs="SJQY"/>
          <w:color w:val="auto"/>
          <w:kern w:val="2"/>
          <w:sz w:val="32"/>
          <w:szCs w:val="32"/>
          <w:lang w:val="en-US" w:eastAsia="zh-CN" w:bidi="ar-SA"/>
        </w:rPr>
        <w:t>C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12，下部钢筋为4</w:t>
      </w:r>
      <w:r>
        <w:rPr>
          <w:rFonts w:hint="eastAsia" w:ascii="SJQY" w:hAnsi="SJQY" w:eastAsia="SJQY" w:cs="SJQY"/>
          <w:color w:val="auto"/>
          <w:kern w:val="2"/>
          <w:sz w:val="32"/>
          <w:szCs w:val="32"/>
          <w:lang w:val="en-US" w:eastAsia="zh-CN" w:bidi="ar-SA"/>
        </w:rPr>
        <w:t>C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12，箍筋为</w:t>
      </w:r>
      <w:r>
        <w:rPr>
          <w:rFonts w:hint="eastAsia" w:ascii="SJQY" w:hAnsi="SJQY" w:eastAsia="SJQY" w:cs="SJQY"/>
          <w:color w:val="auto"/>
          <w:kern w:val="2"/>
          <w:sz w:val="32"/>
          <w:szCs w:val="32"/>
          <w:lang w:val="en-US" w:eastAsia="zh-CN" w:bidi="ar-SA"/>
        </w:rPr>
        <w:t>A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10@200，具体排布方式如图一。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  <w:t>4）沟槽土方分层压实回填。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/>
        </w:rPr>
      </w:pP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.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砖砌围墙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按采购人指定位置砌筑围墙，围墙长度约为260米,高度为2400mm，宽度为240mm；采用MU10页岩砖M7.5水泥砂浆砌筑，围墙构造如图二。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808605" cy="4011295"/>
            <wp:effectExtent l="0" t="0" r="1079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图二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/>
        </w:rPr>
      </w:pP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.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构造柱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构造柱混凝土标号为C30，长度为300mm，宽度为240mm，高度为2200mm，竖筋为6</w:t>
      </w:r>
      <w:r>
        <w:rPr>
          <w:rFonts w:hint="eastAsia" w:ascii="SJQY" w:hAnsi="SJQY" w:eastAsia="SJQY" w:cs="SJQY"/>
          <w:color w:val="auto"/>
          <w:kern w:val="2"/>
          <w:sz w:val="32"/>
          <w:szCs w:val="32"/>
          <w:lang w:val="en-US" w:eastAsia="zh-CN" w:bidi="ar-SA"/>
        </w:rPr>
        <w:t>C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12</w:t>
      </w:r>
      <w:r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，箍筋为</w:t>
      </w:r>
      <w:r>
        <w:rPr>
          <w:rFonts w:hint="eastAsia" w:ascii="SJQY" w:hAnsi="SJQY" w:eastAsia="SJQY" w:cs="SJQY"/>
          <w:color w:val="auto"/>
          <w:kern w:val="2"/>
          <w:sz w:val="32"/>
          <w:szCs w:val="32"/>
          <w:lang w:val="en-US" w:eastAsia="zh-CN" w:bidi="ar-SA"/>
        </w:rPr>
        <w:t>A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10@200</w:t>
      </w:r>
      <w:r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，如图三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。构造柱间距为20米，每40米设置一道伸缩缝，伸缩缝两边各设置一个构造柱，如图四。</w: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121920</wp:posOffset>
            </wp:positionV>
            <wp:extent cx="3875405" cy="2209800"/>
            <wp:effectExtent l="0" t="0" r="10795" b="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图三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681980" cy="1948815"/>
            <wp:effectExtent l="0" t="0" r="13970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图四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/>
        </w:rPr>
      </w:pP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.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饰面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抹灰：砖墙表面1：3水泥砂浆抹灰；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地面以上</w:t>
      </w:r>
      <w:r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  <w:t>600m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m采用墙砖贴面；</w:t>
      </w:r>
      <w:r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外墙表面涂刷白色防水外墙漆（腻子找平，底漆一遍，面漆两遍），顶部压顶涂刷灰色防水外墙漆（腻子找平，底漆一遍，面漆两遍）；具体如图五所示。</w:t>
      </w:r>
    </w:p>
    <w:p>
      <w:pPr>
        <w:jc w:val="center"/>
        <w:rPr>
          <w:rFonts w:hint="eastAsia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111760</wp:posOffset>
            </wp:positionV>
            <wp:extent cx="2612390" cy="2558415"/>
            <wp:effectExtent l="0" t="0" r="16510" b="13335"/>
            <wp:wrapTopAndBottom/>
            <wp:docPr id="5" name="图片 4" descr="1671085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67108500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图五</w:t>
      </w:r>
    </w:p>
    <w:p>
      <w:pPr>
        <w:spacing w:line="500" w:lineRule="exact"/>
        <w:ind w:firstLine="640" w:firstLineChars="200"/>
        <w:outlineLvl w:val="2"/>
        <w:rPr>
          <w:rFonts w:hint="default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  <w:t>四、工程质量</w:t>
      </w:r>
      <w:r>
        <w:rPr>
          <w:rFonts w:hint="eastAsia" w:eastAsia="黑体" w:cs="Times New Roman"/>
          <w:b w:val="0"/>
          <w:bCs/>
          <w:snapToGrid w:val="0"/>
          <w:color w:val="auto"/>
          <w:sz w:val="32"/>
          <w:szCs w:val="32"/>
          <w:highlight w:val="none"/>
          <w:lang w:val="en-US" w:eastAsia="zh-CN"/>
        </w:rPr>
        <w:t>和验收</w:t>
      </w:r>
    </w:p>
    <w:p>
      <w:pPr>
        <w:spacing w:line="560" w:lineRule="exact"/>
        <w:ind w:firstLine="645"/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工程质量应符合相关技术规程的各项技术要求。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2.入场材料应符合相关标准要求，采购人有权对混凝土标号进行抽检，入场材料现场签证单和抽检报告作为验收资料。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.因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中选单位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原因造成工程质量达不到合同约定验收标准的，采购人有权要求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中选单位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返工直至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符合本方案相关标准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为止，由此造成的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一切损失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由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中选单位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承担。</w:t>
      </w:r>
    </w:p>
    <w:p>
      <w:pPr>
        <w:spacing w:line="560" w:lineRule="exact"/>
        <w:ind w:firstLine="645"/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、本工程质保期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  <w:u w:val="single"/>
        </w:rPr>
        <w:t xml:space="preserve"> 1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年，从竣工验收合格之日起计算。在保修期间，属施工原因发生的质量问题，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施工单位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接到通知后及时进行无偿保修。若因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采购人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原因或不可抗力造成工程损坏，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施工单位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不承担保修责任；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施工单位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应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采购人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要求负责对损坏进行维修，其维修费及工时费由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采购人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支付。</w:t>
      </w:r>
    </w:p>
    <w:p>
      <w:pPr>
        <w:pageBreakBefore w:val="0"/>
        <w:kinsoku/>
        <w:wordWrap/>
        <w:overflowPunct/>
        <w:topLinePunct w:val="0"/>
        <w:bidi w:val="0"/>
        <w:spacing w:line="56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  <w:lang w:val="en-US" w:eastAsia="zh-CN"/>
        </w:rPr>
      </w:pPr>
      <w:bookmarkStart w:id="13" w:name="_GoBack"/>
      <w:bookmarkEnd w:id="13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JQY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20447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1pt;width:9.0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653gItAAAAADAQAADwAAAAAAAAABACAAAAAiAAAAZHJzL2Rvd25y&#10;ZXYueG1sUEsBAhQAFAAAAAgAh07iQLPA0TDNAQAAlwMAAA4AAAAAAAAAAQAgAAAAHw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  <w:r>
      <w:rPr>
        <w:rFonts w:hint="eastAsia"/>
      </w:rPr>
      <w:t xml:space="preserve">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2YTM4OTIzMjgzMWZmNTUzZWRiMTlmMjFhN2VlNzkifQ=="/>
  </w:docVars>
  <w:rsids>
    <w:rsidRoot w:val="00000000"/>
    <w:rsid w:val="00C80E02"/>
    <w:rsid w:val="01374E54"/>
    <w:rsid w:val="013B2B96"/>
    <w:rsid w:val="02581525"/>
    <w:rsid w:val="02C754CF"/>
    <w:rsid w:val="02CC7186"/>
    <w:rsid w:val="02DA1F3A"/>
    <w:rsid w:val="05203AAB"/>
    <w:rsid w:val="06C76C7A"/>
    <w:rsid w:val="06E72E78"/>
    <w:rsid w:val="07C531B9"/>
    <w:rsid w:val="07F4584C"/>
    <w:rsid w:val="08507AD0"/>
    <w:rsid w:val="08964B56"/>
    <w:rsid w:val="09BE7D3E"/>
    <w:rsid w:val="09FC0244"/>
    <w:rsid w:val="0AC736EC"/>
    <w:rsid w:val="0B3F7726"/>
    <w:rsid w:val="0B980FB1"/>
    <w:rsid w:val="0CCE0D62"/>
    <w:rsid w:val="0D4D0A3C"/>
    <w:rsid w:val="0D797217"/>
    <w:rsid w:val="0D9773A6"/>
    <w:rsid w:val="0E460336"/>
    <w:rsid w:val="0E71711C"/>
    <w:rsid w:val="0EC8358F"/>
    <w:rsid w:val="0F503246"/>
    <w:rsid w:val="0F797285"/>
    <w:rsid w:val="0FEB2196"/>
    <w:rsid w:val="10D34B99"/>
    <w:rsid w:val="110E1272"/>
    <w:rsid w:val="132A0CBC"/>
    <w:rsid w:val="13C813DA"/>
    <w:rsid w:val="165B12FA"/>
    <w:rsid w:val="1703600B"/>
    <w:rsid w:val="174F1E71"/>
    <w:rsid w:val="17A511FB"/>
    <w:rsid w:val="1816180F"/>
    <w:rsid w:val="199649B5"/>
    <w:rsid w:val="1ABD1DF6"/>
    <w:rsid w:val="1B0B3181"/>
    <w:rsid w:val="1B176AB6"/>
    <w:rsid w:val="1B401413"/>
    <w:rsid w:val="1C5E5533"/>
    <w:rsid w:val="1CC71EBA"/>
    <w:rsid w:val="1DD85F79"/>
    <w:rsid w:val="1E4C5F8A"/>
    <w:rsid w:val="1F897CD1"/>
    <w:rsid w:val="1FF64400"/>
    <w:rsid w:val="2010009E"/>
    <w:rsid w:val="21827773"/>
    <w:rsid w:val="224551CB"/>
    <w:rsid w:val="22690E42"/>
    <w:rsid w:val="23256DAA"/>
    <w:rsid w:val="245F009A"/>
    <w:rsid w:val="248D4C07"/>
    <w:rsid w:val="24A24B56"/>
    <w:rsid w:val="24BB5C18"/>
    <w:rsid w:val="2577703E"/>
    <w:rsid w:val="258204B3"/>
    <w:rsid w:val="26CD7392"/>
    <w:rsid w:val="272865B6"/>
    <w:rsid w:val="278E6199"/>
    <w:rsid w:val="29C72969"/>
    <w:rsid w:val="2A44559E"/>
    <w:rsid w:val="2B430715"/>
    <w:rsid w:val="2B4D6E9E"/>
    <w:rsid w:val="2BE74B53"/>
    <w:rsid w:val="2C43463A"/>
    <w:rsid w:val="2C7D1A05"/>
    <w:rsid w:val="2C9C1E8B"/>
    <w:rsid w:val="2CCB09C2"/>
    <w:rsid w:val="2E0A72C8"/>
    <w:rsid w:val="2EA66FF1"/>
    <w:rsid w:val="2EF7784D"/>
    <w:rsid w:val="2FCC52AA"/>
    <w:rsid w:val="301663F8"/>
    <w:rsid w:val="31A527F6"/>
    <w:rsid w:val="31D71BB7"/>
    <w:rsid w:val="31E1781B"/>
    <w:rsid w:val="321E77E6"/>
    <w:rsid w:val="32C52AF5"/>
    <w:rsid w:val="33134E71"/>
    <w:rsid w:val="351A6043"/>
    <w:rsid w:val="353C0DDD"/>
    <w:rsid w:val="35E20C8C"/>
    <w:rsid w:val="36252EF1"/>
    <w:rsid w:val="36DE12F2"/>
    <w:rsid w:val="36DF5796"/>
    <w:rsid w:val="37971BCD"/>
    <w:rsid w:val="37C329C2"/>
    <w:rsid w:val="381B27FE"/>
    <w:rsid w:val="38395D03"/>
    <w:rsid w:val="38532BA0"/>
    <w:rsid w:val="386B159B"/>
    <w:rsid w:val="389B393F"/>
    <w:rsid w:val="38A327F3"/>
    <w:rsid w:val="39066B78"/>
    <w:rsid w:val="39CD0CF6"/>
    <w:rsid w:val="3A396F6B"/>
    <w:rsid w:val="3A7750E3"/>
    <w:rsid w:val="3AF47336"/>
    <w:rsid w:val="3B8C3D8B"/>
    <w:rsid w:val="3C53215B"/>
    <w:rsid w:val="3D615552"/>
    <w:rsid w:val="3DE36C7F"/>
    <w:rsid w:val="3E0E26A4"/>
    <w:rsid w:val="3EED47C8"/>
    <w:rsid w:val="411D6CE5"/>
    <w:rsid w:val="41222415"/>
    <w:rsid w:val="415F3DBE"/>
    <w:rsid w:val="41686388"/>
    <w:rsid w:val="41E81277"/>
    <w:rsid w:val="42FA3580"/>
    <w:rsid w:val="43B32ED5"/>
    <w:rsid w:val="442373A7"/>
    <w:rsid w:val="45101210"/>
    <w:rsid w:val="453B2DC8"/>
    <w:rsid w:val="45AE0EF4"/>
    <w:rsid w:val="465F2ED0"/>
    <w:rsid w:val="467A1037"/>
    <w:rsid w:val="46A510BD"/>
    <w:rsid w:val="471072A6"/>
    <w:rsid w:val="475C073D"/>
    <w:rsid w:val="477A0BC3"/>
    <w:rsid w:val="478D44C2"/>
    <w:rsid w:val="47D74267"/>
    <w:rsid w:val="48C42A3E"/>
    <w:rsid w:val="48CE256C"/>
    <w:rsid w:val="48D82045"/>
    <w:rsid w:val="494D47E1"/>
    <w:rsid w:val="49563C70"/>
    <w:rsid w:val="49920446"/>
    <w:rsid w:val="4B525B6F"/>
    <w:rsid w:val="4B7778F3"/>
    <w:rsid w:val="4B865D88"/>
    <w:rsid w:val="4C6C31D0"/>
    <w:rsid w:val="4D04395F"/>
    <w:rsid w:val="4D4D1254"/>
    <w:rsid w:val="4D812AEE"/>
    <w:rsid w:val="4E164FFE"/>
    <w:rsid w:val="4E570604"/>
    <w:rsid w:val="527903F5"/>
    <w:rsid w:val="528B637A"/>
    <w:rsid w:val="532E5683"/>
    <w:rsid w:val="53C51418"/>
    <w:rsid w:val="540D34EB"/>
    <w:rsid w:val="54BD5524"/>
    <w:rsid w:val="554271C4"/>
    <w:rsid w:val="55511CDC"/>
    <w:rsid w:val="55515659"/>
    <w:rsid w:val="559D1B85"/>
    <w:rsid w:val="569945BB"/>
    <w:rsid w:val="57833AC4"/>
    <w:rsid w:val="58551996"/>
    <w:rsid w:val="58CE0D6F"/>
    <w:rsid w:val="59360F52"/>
    <w:rsid w:val="5AB80869"/>
    <w:rsid w:val="5AE1122D"/>
    <w:rsid w:val="5B321A89"/>
    <w:rsid w:val="5B8A71CF"/>
    <w:rsid w:val="5C3A24CF"/>
    <w:rsid w:val="5CAC72C6"/>
    <w:rsid w:val="5E602469"/>
    <w:rsid w:val="5EA92062"/>
    <w:rsid w:val="5ED05841"/>
    <w:rsid w:val="5F077391"/>
    <w:rsid w:val="5F3833E6"/>
    <w:rsid w:val="5F8E4D72"/>
    <w:rsid w:val="608C39E9"/>
    <w:rsid w:val="61882403"/>
    <w:rsid w:val="619E349D"/>
    <w:rsid w:val="63BE70A2"/>
    <w:rsid w:val="63E678B4"/>
    <w:rsid w:val="63ED29F1"/>
    <w:rsid w:val="64212154"/>
    <w:rsid w:val="643A4188"/>
    <w:rsid w:val="646507D9"/>
    <w:rsid w:val="64A62BA0"/>
    <w:rsid w:val="64E91E9F"/>
    <w:rsid w:val="65166617"/>
    <w:rsid w:val="65646CE3"/>
    <w:rsid w:val="66CB77A0"/>
    <w:rsid w:val="689C49E5"/>
    <w:rsid w:val="69973361"/>
    <w:rsid w:val="69F34AD9"/>
    <w:rsid w:val="6A23075D"/>
    <w:rsid w:val="6AB04778"/>
    <w:rsid w:val="6B1B6095"/>
    <w:rsid w:val="6B1D718E"/>
    <w:rsid w:val="6B234F4A"/>
    <w:rsid w:val="6B453112"/>
    <w:rsid w:val="6C105420"/>
    <w:rsid w:val="6C456D7D"/>
    <w:rsid w:val="6C5D6EA0"/>
    <w:rsid w:val="6DE36C13"/>
    <w:rsid w:val="6E5F5B43"/>
    <w:rsid w:val="6E862D1C"/>
    <w:rsid w:val="6F265009"/>
    <w:rsid w:val="6F3516F0"/>
    <w:rsid w:val="6F5F3608"/>
    <w:rsid w:val="6F887A72"/>
    <w:rsid w:val="702E6B8B"/>
    <w:rsid w:val="712E4649"/>
    <w:rsid w:val="71B21356"/>
    <w:rsid w:val="71BF3BEB"/>
    <w:rsid w:val="7402080F"/>
    <w:rsid w:val="746960C4"/>
    <w:rsid w:val="758E56B6"/>
    <w:rsid w:val="75A21793"/>
    <w:rsid w:val="764B3BCB"/>
    <w:rsid w:val="769D074D"/>
    <w:rsid w:val="775D582B"/>
    <w:rsid w:val="775F6EEC"/>
    <w:rsid w:val="7775113F"/>
    <w:rsid w:val="79B002F1"/>
    <w:rsid w:val="7A65612E"/>
    <w:rsid w:val="7AEF4E49"/>
    <w:rsid w:val="7AF10BC1"/>
    <w:rsid w:val="7B034450"/>
    <w:rsid w:val="7BF5648F"/>
    <w:rsid w:val="7D0255F7"/>
    <w:rsid w:val="7D2C4132"/>
    <w:rsid w:val="7E39498D"/>
    <w:rsid w:val="7E693B87"/>
    <w:rsid w:val="7ECB797B"/>
    <w:rsid w:val="7EEC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adjustRightInd w:val="0"/>
      <w:snapToGrid w:val="0"/>
      <w:spacing w:line="360" w:lineRule="auto"/>
      <w:outlineLvl w:val="1"/>
    </w:pPr>
    <w:rPr>
      <w:rFonts w:ascii="宋体" w:hAnsi="宋体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spacing w:line="360" w:lineRule="auto"/>
      <w:ind w:firstLine="420"/>
    </w:pPr>
    <w:rPr>
      <w:rFonts w:ascii="宋体" w:hAnsi="宋体"/>
      <w:sz w:val="24"/>
    </w:rPr>
  </w:style>
  <w:style w:type="paragraph" w:styleId="3">
    <w:name w:val="Body Text"/>
    <w:basedOn w:val="1"/>
    <w:next w:val="1"/>
    <w:qFormat/>
    <w:uiPriority w:val="0"/>
    <w:rPr>
      <w:rFonts w:ascii="仿宋_GB2312" w:eastAsia="仿宋_GB2312"/>
      <w:sz w:val="32"/>
    </w:rPr>
  </w:style>
  <w:style w:type="paragraph" w:styleId="5">
    <w:name w:val="Normal Indent"/>
    <w:basedOn w:val="1"/>
    <w:qFormat/>
    <w:uiPriority w:val="0"/>
    <w:pPr>
      <w:adjustRightInd w:val="0"/>
      <w:snapToGrid w:val="0"/>
      <w:spacing w:line="360" w:lineRule="auto"/>
      <w:ind w:firstLine="420"/>
    </w:pPr>
    <w:rPr>
      <w:sz w:val="24"/>
    </w:rPr>
  </w:style>
  <w:style w:type="paragraph" w:styleId="6">
    <w:name w:val="Body Text Indent"/>
    <w:basedOn w:val="1"/>
    <w:qFormat/>
    <w:uiPriority w:val="0"/>
    <w:pPr>
      <w:spacing w:line="700" w:lineRule="exact"/>
      <w:ind w:left="960"/>
    </w:pPr>
    <w:rPr>
      <w:sz w:val="44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宋体"/>
      <w:kern w:val="2"/>
      <w:sz w:val="18"/>
      <w:lang w:val="en-US" w:eastAsia="zh-CN"/>
    </w:rPr>
  </w:style>
  <w:style w:type="paragraph" w:styleId="8">
    <w:name w:val="Body Text First Indent 2"/>
    <w:basedOn w:val="6"/>
    <w:qFormat/>
    <w:uiPriority w:val="0"/>
    <w:pPr>
      <w:spacing w:after="120" w:line="240" w:lineRule="auto"/>
      <w:ind w:left="420" w:leftChars="200" w:firstLine="420" w:firstLineChars="200"/>
    </w:pPr>
    <w:rPr>
      <w:sz w:val="21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1116</Words>
  <Characters>1226</Characters>
  <Lines>0</Lines>
  <Paragraphs>0</Paragraphs>
  <TotalTime>0</TotalTime>
  <ScaleCrop>false</ScaleCrop>
  <LinksUpToDate>false</LinksUpToDate>
  <CharactersWithSpaces>1231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刚哥</cp:lastModifiedBy>
  <cp:lastPrinted>2023-06-13T01:27:00Z</cp:lastPrinted>
  <dcterms:modified xsi:type="dcterms:W3CDTF">2023-08-04T08:19:29Z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39B8EF86CA97458D89FFFD3B27C3514D</vt:lpwstr>
  </property>
</Properties>
</file>