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5"/>
        <w:spacing w:before="100" w:after="100"/>
        <w:ind w:firstLine="640" w:firstLineChars="200"/>
        <w:jc w:val="center"/>
        <w:rPr>
          <w:rFonts w:hint="eastAsia" w:ascii="方正小标宋_GBK" w:hAnsi="方正小标宋_GBK" w:eastAsia="方正小标宋_GBK" w:cs="方正小标宋_GBK"/>
          <w:color w:val="auto"/>
          <w:sz w:val="32"/>
          <w:szCs w:val="32"/>
          <w:highlight w:val="none"/>
          <w:lang w:val="en-US" w:eastAsia="zh-CN"/>
        </w:rPr>
      </w:pPr>
      <w:bookmarkStart w:id="0" w:name="_Toc110005763"/>
      <w:bookmarkStart w:id="1" w:name="_Toc509218692"/>
      <w:bookmarkStart w:id="2" w:name="_Toc200359238"/>
      <w:bookmarkStart w:id="3" w:name="_Toc200359427"/>
      <w:bookmarkStart w:id="4" w:name="_Toc287620667"/>
      <w:bookmarkStart w:id="5" w:name="_Toc7189"/>
      <w:bookmarkStart w:id="6" w:name="_Toc224103299"/>
      <w:bookmarkStart w:id="7" w:name="_Toc57820542"/>
      <w:bookmarkStart w:id="8" w:name="_Toc287607728"/>
      <w:bookmarkStart w:id="9" w:name="_Toc430530416"/>
      <w:bookmarkStart w:id="10" w:name="_Toc277082536"/>
      <w:r>
        <w:rPr>
          <w:rFonts w:hint="eastAsia" w:ascii="方正小标宋_GBK" w:hAnsi="方正小标宋_GBK" w:eastAsia="方正小标宋_GBK" w:cs="方正小标宋_GBK"/>
          <w:color w:val="auto"/>
          <w:sz w:val="32"/>
          <w:szCs w:val="32"/>
          <w:highlight w:val="none"/>
          <w:lang w:val="en-US" w:eastAsia="zh-CN"/>
        </w:rPr>
        <w:t>临时转运场地建设采购公告说明</w:t>
      </w:r>
    </w:p>
    <w:bookmarkEnd w:id="0"/>
    <w:bookmarkEnd w:id="1"/>
    <w:bookmarkEnd w:id="2"/>
    <w:bookmarkEnd w:id="3"/>
    <w:bookmarkEnd w:id="4"/>
    <w:bookmarkEnd w:id="5"/>
    <w:bookmarkEnd w:id="6"/>
    <w:bookmarkEnd w:id="7"/>
    <w:bookmarkEnd w:id="8"/>
    <w:bookmarkEnd w:id="9"/>
    <w:bookmarkEnd w:id="10"/>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重庆市</w:t>
      </w:r>
      <w:r>
        <w:rPr>
          <w:rFonts w:hint="eastAsia" w:ascii="方正仿宋_GBK" w:hAnsi="方正仿宋_GBK" w:eastAsia="方正仿宋_GBK" w:cs="方正仿宋_GBK"/>
          <w:color w:val="auto"/>
          <w:sz w:val="21"/>
          <w:szCs w:val="21"/>
          <w:highlight w:val="none"/>
          <w:lang w:eastAsia="zh-CN"/>
        </w:rPr>
        <w:t>綦江</w:t>
      </w:r>
      <w:r>
        <w:rPr>
          <w:rFonts w:hint="eastAsia" w:ascii="方正仿宋_GBK" w:hAnsi="方正仿宋_GBK" w:eastAsia="方正仿宋_GBK" w:cs="方正仿宋_GBK"/>
          <w:color w:val="auto"/>
          <w:sz w:val="21"/>
          <w:szCs w:val="21"/>
          <w:highlight w:val="none"/>
        </w:rPr>
        <w:t>区益</w:t>
      </w:r>
      <w:r>
        <w:rPr>
          <w:rFonts w:hint="eastAsia" w:ascii="方正仿宋_GBK" w:hAnsi="方正仿宋_GBK" w:eastAsia="方正仿宋_GBK" w:cs="方正仿宋_GBK"/>
          <w:color w:val="auto"/>
          <w:sz w:val="21"/>
          <w:szCs w:val="21"/>
          <w:highlight w:val="none"/>
          <w:lang w:eastAsia="zh-CN"/>
        </w:rPr>
        <w:t>创</w:t>
      </w:r>
      <w:r>
        <w:rPr>
          <w:rFonts w:hint="eastAsia" w:ascii="方正仿宋_GBK" w:hAnsi="方正仿宋_GBK" w:eastAsia="方正仿宋_GBK" w:cs="方正仿宋_GBK"/>
          <w:color w:val="auto"/>
          <w:sz w:val="21"/>
          <w:szCs w:val="21"/>
          <w:highlight w:val="none"/>
        </w:rPr>
        <w:t>环境服务有限公司</w:t>
      </w:r>
      <w:r>
        <w:rPr>
          <w:rFonts w:hint="eastAsia" w:ascii="方正仿宋_GBK" w:hAnsi="方正仿宋_GBK" w:eastAsia="方正仿宋_GBK" w:cs="方正仿宋_GBK"/>
          <w:color w:val="auto"/>
          <w:sz w:val="21"/>
          <w:szCs w:val="21"/>
          <w:highlight w:val="none"/>
          <w:lang w:val="en-US" w:eastAsia="zh-CN"/>
        </w:rPr>
        <w:t>对公司</w:t>
      </w:r>
      <w:r>
        <w:rPr>
          <w:rFonts w:hint="eastAsia" w:ascii="方正仿宋_GBK" w:hAnsi="方正仿宋_GBK" w:eastAsia="方正仿宋_GBK" w:cs="方正仿宋_GBK"/>
          <w:color w:val="auto"/>
          <w:sz w:val="21"/>
          <w:szCs w:val="21"/>
          <w:highlight w:val="none"/>
        </w:rPr>
        <w:t>生活垃圾临时转运场地建设进行</w:t>
      </w:r>
      <w:r>
        <w:rPr>
          <w:rFonts w:hint="eastAsia" w:ascii="方正仿宋_GBK" w:hAnsi="方正仿宋_GBK" w:eastAsia="方正仿宋_GBK" w:cs="方正仿宋_GBK"/>
          <w:color w:val="auto"/>
          <w:sz w:val="21"/>
          <w:szCs w:val="21"/>
          <w:highlight w:val="none"/>
          <w:lang w:val="en-US" w:eastAsia="zh-CN"/>
        </w:rPr>
        <w:t>询价采购</w:t>
      </w:r>
      <w:r>
        <w:rPr>
          <w:rFonts w:hint="eastAsia" w:ascii="方正仿宋_GBK" w:hAnsi="方正仿宋_GBK" w:eastAsia="方正仿宋_GBK" w:cs="方正仿宋_GBK"/>
          <w:color w:val="auto"/>
          <w:sz w:val="21"/>
          <w:szCs w:val="21"/>
          <w:highlight w:val="none"/>
        </w:rPr>
        <w:t>，欢迎有资格的单位参加竞选。</w:t>
      </w:r>
      <w:r>
        <w:rPr>
          <w:rFonts w:hint="eastAsia" w:ascii="方正仿宋_GBK" w:hAnsi="方正仿宋_GBK" w:eastAsia="方正仿宋_GBK" w:cs="方正仿宋_GBK"/>
          <w:color w:val="auto"/>
          <w:sz w:val="21"/>
          <w:szCs w:val="21"/>
          <w:highlight w:val="none"/>
          <w:lang w:val="en-US" w:eastAsia="zh-CN"/>
        </w:rPr>
        <w:t>本次询价采购由</w:t>
      </w:r>
      <w:r>
        <w:rPr>
          <w:rFonts w:hint="eastAsia" w:ascii="方正仿宋_GBK" w:hAnsi="方正仿宋_GBK" w:eastAsia="方正仿宋_GBK" w:cs="方正仿宋_GBK"/>
          <w:color w:val="auto"/>
          <w:sz w:val="21"/>
          <w:szCs w:val="21"/>
          <w:highlight w:val="none"/>
        </w:rPr>
        <w:t>重庆市</w:t>
      </w:r>
      <w:r>
        <w:rPr>
          <w:rFonts w:hint="eastAsia" w:ascii="方正仿宋_GBK" w:hAnsi="方正仿宋_GBK" w:eastAsia="方正仿宋_GBK" w:cs="方正仿宋_GBK"/>
          <w:color w:val="auto"/>
          <w:sz w:val="21"/>
          <w:szCs w:val="21"/>
          <w:highlight w:val="none"/>
          <w:lang w:eastAsia="zh-CN"/>
        </w:rPr>
        <w:t>綦江</w:t>
      </w:r>
      <w:r>
        <w:rPr>
          <w:rFonts w:hint="eastAsia" w:ascii="方正仿宋_GBK" w:hAnsi="方正仿宋_GBK" w:eastAsia="方正仿宋_GBK" w:cs="方正仿宋_GBK"/>
          <w:color w:val="auto"/>
          <w:sz w:val="21"/>
          <w:szCs w:val="21"/>
          <w:highlight w:val="none"/>
        </w:rPr>
        <w:t>区益</w:t>
      </w:r>
      <w:r>
        <w:rPr>
          <w:rFonts w:hint="eastAsia" w:ascii="方正仿宋_GBK" w:hAnsi="方正仿宋_GBK" w:eastAsia="方正仿宋_GBK" w:cs="方正仿宋_GBK"/>
          <w:color w:val="auto"/>
          <w:sz w:val="21"/>
          <w:szCs w:val="21"/>
          <w:highlight w:val="none"/>
          <w:lang w:eastAsia="zh-CN"/>
        </w:rPr>
        <w:t>创</w:t>
      </w:r>
      <w:r>
        <w:rPr>
          <w:rFonts w:hint="eastAsia" w:ascii="方正仿宋_GBK" w:hAnsi="方正仿宋_GBK" w:eastAsia="方正仿宋_GBK" w:cs="方正仿宋_GBK"/>
          <w:color w:val="auto"/>
          <w:sz w:val="21"/>
          <w:szCs w:val="21"/>
          <w:highlight w:val="none"/>
        </w:rPr>
        <w:t>环境服务有限公司</w:t>
      </w:r>
      <w:r>
        <w:rPr>
          <w:rFonts w:hint="eastAsia" w:ascii="方正仿宋_GBK" w:hAnsi="方正仿宋_GBK" w:eastAsia="方正仿宋_GBK" w:cs="方正仿宋_GBK"/>
          <w:color w:val="auto"/>
          <w:sz w:val="21"/>
          <w:szCs w:val="21"/>
          <w:highlight w:val="none"/>
          <w:lang w:val="en-US" w:eastAsia="zh-CN"/>
        </w:rPr>
        <w:t>负责，确定中选单位后，中选单位与</w:t>
      </w:r>
      <w:r>
        <w:rPr>
          <w:rFonts w:hint="eastAsia" w:ascii="方正仿宋_GBK" w:hAnsi="方正仿宋_GBK" w:eastAsia="方正仿宋_GBK" w:cs="方正仿宋_GBK"/>
          <w:color w:val="auto"/>
          <w:sz w:val="21"/>
          <w:szCs w:val="21"/>
          <w:highlight w:val="none"/>
        </w:rPr>
        <w:t>重庆市</w:t>
      </w:r>
      <w:r>
        <w:rPr>
          <w:rFonts w:hint="eastAsia" w:ascii="方正仿宋_GBK" w:hAnsi="方正仿宋_GBK" w:eastAsia="方正仿宋_GBK" w:cs="方正仿宋_GBK"/>
          <w:color w:val="auto"/>
          <w:sz w:val="21"/>
          <w:szCs w:val="21"/>
          <w:highlight w:val="none"/>
          <w:lang w:eastAsia="zh-CN"/>
        </w:rPr>
        <w:t>綦江</w:t>
      </w:r>
      <w:r>
        <w:rPr>
          <w:rFonts w:hint="eastAsia" w:ascii="方正仿宋_GBK" w:hAnsi="方正仿宋_GBK" w:eastAsia="方正仿宋_GBK" w:cs="方正仿宋_GBK"/>
          <w:color w:val="auto"/>
          <w:sz w:val="21"/>
          <w:szCs w:val="21"/>
          <w:highlight w:val="none"/>
        </w:rPr>
        <w:t>区益</w:t>
      </w:r>
      <w:r>
        <w:rPr>
          <w:rFonts w:hint="eastAsia" w:ascii="方正仿宋_GBK" w:hAnsi="方正仿宋_GBK" w:eastAsia="方正仿宋_GBK" w:cs="方正仿宋_GBK"/>
          <w:color w:val="auto"/>
          <w:sz w:val="21"/>
          <w:szCs w:val="21"/>
          <w:highlight w:val="none"/>
          <w:lang w:eastAsia="zh-CN"/>
        </w:rPr>
        <w:t>创</w:t>
      </w:r>
      <w:r>
        <w:rPr>
          <w:rFonts w:hint="eastAsia" w:ascii="方正仿宋_GBK" w:hAnsi="方正仿宋_GBK" w:eastAsia="方正仿宋_GBK" w:cs="方正仿宋_GBK"/>
          <w:color w:val="auto"/>
          <w:sz w:val="21"/>
          <w:szCs w:val="21"/>
          <w:highlight w:val="none"/>
        </w:rPr>
        <w:t>环境服务有限公司</w:t>
      </w:r>
      <w:r>
        <w:rPr>
          <w:rFonts w:hint="eastAsia" w:ascii="方正仿宋_GBK" w:hAnsi="方正仿宋_GBK" w:eastAsia="方正仿宋_GBK" w:cs="方正仿宋_GBK"/>
          <w:color w:val="auto"/>
          <w:sz w:val="21"/>
          <w:szCs w:val="21"/>
          <w:highlight w:val="none"/>
          <w:lang w:val="en-US" w:eastAsia="zh-CN"/>
        </w:rPr>
        <w:t>签订合同。</w:t>
      </w:r>
    </w:p>
    <w:p>
      <w:pPr>
        <w:pStyle w:val="5"/>
        <w:pageBreakBefore w:val="0"/>
        <w:widowControl w:val="0"/>
        <w:kinsoku/>
        <w:wordWrap/>
        <w:overflowPunct/>
        <w:topLinePunct w:val="0"/>
        <w:bidi w:val="0"/>
        <w:adjustRightInd w:val="0"/>
        <w:snapToGrid w:val="0"/>
        <w:spacing w:before="100" w:after="100" w:line="400" w:lineRule="exact"/>
        <w:ind w:firstLine="420" w:firstLineChars="200"/>
        <w:textAlignment w:val="auto"/>
        <w:rPr>
          <w:rFonts w:hint="eastAsia" w:ascii="方正黑体_GBK" w:hAnsi="方正黑体_GBK" w:eastAsia="方正黑体_GBK" w:cs="方正黑体_GBK"/>
          <w:b w:val="0"/>
          <w:bCs/>
          <w:snapToGrid w:val="0"/>
          <w:color w:val="auto"/>
          <w:sz w:val="21"/>
          <w:szCs w:val="21"/>
          <w:highlight w:val="none"/>
        </w:rPr>
      </w:pPr>
      <w:bookmarkStart w:id="11" w:name="_Toc287620668"/>
      <w:bookmarkStart w:id="12" w:name="_Toc224103300"/>
      <w:bookmarkStart w:id="13" w:name="_Toc200359428"/>
      <w:bookmarkStart w:id="14" w:name="_Toc509218693"/>
      <w:bookmarkStart w:id="15" w:name="_Toc277082537"/>
      <w:bookmarkStart w:id="16" w:name="_Toc287607729"/>
      <w:bookmarkStart w:id="17" w:name="_Toc200359239"/>
      <w:bookmarkStart w:id="18" w:name="_Toc7347"/>
      <w:bookmarkStart w:id="19" w:name="_Toc57820543"/>
      <w:bookmarkStart w:id="20" w:name="_Toc430530417"/>
      <w:bookmarkStart w:id="21" w:name="_Toc110005764"/>
      <w:r>
        <w:rPr>
          <w:rFonts w:hint="eastAsia" w:ascii="方正黑体_GBK" w:hAnsi="方正黑体_GBK" w:eastAsia="方正黑体_GBK" w:cs="方正黑体_GBK"/>
          <w:b w:val="0"/>
          <w:bCs/>
          <w:snapToGrid w:val="0"/>
          <w:color w:val="auto"/>
          <w:sz w:val="21"/>
          <w:szCs w:val="21"/>
          <w:highlight w:val="none"/>
          <w:lang w:eastAsia="zh-CN"/>
        </w:rPr>
        <w:t>一</w:t>
      </w:r>
      <w:r>
        <w:rPr>
          <w:rFonts w:hint="eastAsia" w:ascii="方正黑体_GBK" w:hAnsi="方正黑体_GBK" w:eastAsia="方正黑体_GBK" w:cs="方正黑体_GBK"/>
          <w:b w:val="0"/>
          <w:bCs/>
          <w:snapToGrid w:val="0"/>
          <w:color w:val="auto"/>
          <w:sz w:val="21"/>
          <w:szCs w:val="21"/>
          <w:highlight w:val="none"/>
        </w:rPr>
        <w:t>、项目概况与采购范围</w:t>
      </w:r>
      <w:bookmarkEnd w:id="11"/>
      <w:bookmarkEnd w:id="12"/>
      <w:bookmarkEnd w:id="13"/>
      <w:bookmarkEnd w:id="14"/>
      <w:bookmarkEnd w:id="15"/>
      <w:bookmarkEnd w:id="16"/>
      <w:bookmarkEnd w:id="17"/>
      <w:bookmarkEnd w:id="18"/>
      <w:bookmarkEnd w:id="19"/>
      <w:bookmarkEnd w:id="20"/>
      <w:bookmarkEnd w:id="21"/>
    </w:p>
    <w:p>
      <w:pPr>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lang w:eastAsia="zh-CN"/>
        </w:rPr>
      </w:pPr>
      <w:r>
        <w:rPr>
          <w:rFonts w:hint="eastAsia" w:ascii="方正仿宋_GBK" w:hAnsi="方正仿宋_GBK" w:eastAsia="方正仿宋_GBK" w:cs="方正仿宋_GBK"/>
          <w:snapToGrid w:val="0"/>
          <w:color w:val="auto"/>
          <w:kern w:val="0"/>
          <w:sz w:val="21"/>
          <w:szCs w:val="21"/>
          <w:highlight w:val="none"/>
        </w:rPr>
        <w:t xml:space="preserve">1. </w:t>
      </w:r>
      <w:r>
        <w:rPr>
          <w:rFonts w:hint="eastAsia" w:ascii="方正仿宋_GBK" w:hAnsi="方正仿宋_GBK" w:eastAsia="方正仿宋_GBK" w:cs="方正仿宋_GBK"/>
          <w:snapToGrid w:val="0"/>
          <w:color w:val="auto"/>
          <w:kern w:val="0"/>
          <w:sz w:val="21"/>
          <w:szCs w:val="21"/>
          <w:highlight w:val="none"/>
          <w:lang w:eastAsia="zh-CN"/>
        </w:rPr>
        <w:t>项目名称：</w:t>
      </w:r>
      <w:r>
        <w:rPr>
          <w:rFonts w:hint="eastAsia" w:ascii="方正仿宋_GBK" w:hAnsi="方正仿宋_GBK" w:eastAsia="方正仿宋_GBK" w:cs="方正仿宋_GBK"/>
          <w:color w:val="auto"/>
          <w:sz w:val="21"/>
          <w:szCs w:val="21"/>
          <w:highlight w:val="none"/>
        </w:rPr>
        <w:t>临时转运场地建设</w:t>
      </w:r>
      <w:r>
        <w:rPr>
          <w:rFonts w:hint="eastAsia" w:ascii="方正仿宋_GBK" w:hAnsi="方正仿宋_GBK" w:eastAsia="方正仿宋_GBK" w:cs="方正仿宋_GBK"/>
          <w:color w:val="auto"/>
          <w:sz w:val="21"/>
          <w:szCs w:val="21"/>
          <w:highlight w:val="none"/>
          <w:lang w:eastAsia="zh-CN"/>
        </w:rPr>
        <w:t>采购项目</w:t>
      </w:r>
    </w:p>
    <w:p>
      <w:pPr>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snapToGrid w:val="0"/>
          <w:color w:val="auto"/>
          <w:kern w:val="0"/>
          <w:sz w:val="21"/>
          <w:szCs w:val="21"/>
          <w:highlight w:val="none"/>
          <w:lang w:val="en-US" w:eastAsia="zh-CN"/>
        </w:rPr>
        <w:t>2.</w:t>
      </w:r>
      <w:r>
        <w:rPr>
          <w:rFonts w:hint="eastAsia" w:ascii="方正仿宋_GBK" w:hAnsi="方正仿宋_GBK" w:eastAsia="方正仿宋_GBK" w:cs="方正仿宋_GBK"/>
          <w:snapToGrid w:val="0"/>
          <w:color w:val="auto"/>
          <w:kern w:val="0"/>
          <w:sz w:val="21"/>
          <w:szCs w:val="21"/>
          <w:highlight w:val="none"/>
        </w:rPr>
        <w:t>建设地点：重庆市綦江区桥河工业园区西齿北路下坝村。</w:t>
      </w:r>
    </w:p>
    <w:p>
      <w:pPr>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lang w:val="en-US" w:eastAsia="zh-CN"/>
        </w:rPr>
        <w:t>3.</w:t>
      </w:r>
      <w:r>
        <w:rPr>
          <w:rFonts w:hint="eastAsia" w:ascii="方正仿宋_GBK" w:hAnsi="方正仿宋_GBK" w:eastAsia="方正仿宋_GBK" w:cs="方正仿宋_GBK"/>
          <w:snapToGrid w:val="0"/>
          <w:color w:val="auto"/>
          <w:kern w:val="0"/>
          <w:sz w:val="21"/>
          <w:szCs w:val="21"/>
          <w:highlight w:val="none"/>
        </w:rPr>
        <w:t xml:space="preserve"> </w:t>
      </w:r>
      <w:r>
        <w:rPr>
          <w:rFonts w:hint="eastAsia" w:ascii="方正仿宋_GBK" w:hAnsi="方正仿宋_GBK" w:eastAsia="方正仿宋_GBK" w:cs="方正仿宋_GBK"/>
          <w:color w:val="auto"/>
          <w:sz w:val="21"/>
          <w:szCs w:val="21"/>
          <w:highlight w:val="none"/>
          <w:lang w:eastAsia="zh-CN"/>
        </w:rPr>
        <w:t>采购人：重庆</w:t>
      </w:r>
      <w:r>
        <w:rPr>
          <w:rFonts w:hint="eastAsia" w:ascii="方正仿宋_GBK" w:hAnsi="方正仿宋_GBK" w:eastAsia="方正仿宋_GBK" w:cs="方正仿宋_GBK"/>
          <w:color w:val="auto"/>
          <w:sz w:val="21"/>
          <w:szCs w:val="21"/>
          <w:highlight w:val="none"/>
        </w:rPr>
        <w:t>市</w:t>
      </w:r>
      <w:r>
        <w:rPr>
          <w:rFonts w:hint="eastAsia" w:ascii="方正仿宋_GBK" w:hAnsi="方正仿宋_GBK" w:eastAsia="方正仿宋_GBK" w:cs="方正仿宋_GBK"/>
          <w:color w:val="auto"/>
          <w:sz w:val="21"/>
          <w:szCs w:val="21"/>
          <w:highlight w:val="none"/>
          <w:lang w:eastAsia="zh-CN"/>
        </w:rPr>
        <w:t>綦江</w:t>
      </w:r>
      <w:r>
        <w:rPr>
          <w:rFonts w:hint="eastAsia" w:ascii="方正仿宋_GBK" w:hAnsi="方正仿宋_GBK" w:eastAsia="方正仿宋_GBK" w:cs="方正仿宋_GBK"/>
          <w:color w:val="auto"/>
          <w:sz w:val="21"/>
          <w:szCs w:val="21"/>
          <w:highlight w:val="none"/>
        </w:rPr>
        <w:t>区益</w:t>
      </w:r>
      <w:r>
        <w:rPr>
          <w:rFonts w:hint="eastAsia" w:ascii="方正仿宋_GBK" w:hAnsi="方正仿宋_GBK" w:eastAsia="方正仿宋_GBK" w:cs="方正仿宋_GBK"/>
          <w:color w:val="auto"/>
          <w:sz w:val="21"/>
          <w:szCs w:val="21"/>
          <w:highlight w:val="none"/>
          <w:lang w:eastAsia="zh-CN"/>
        </w:rPr>
        <w:t>创</w:t>
      </w:r>
      <w:r>
        <w:rPr>
          <w:rFonts w:hint="eastAsia" w:ascii="方正仿宋_GBK" w:hAnsi="方正仿宋_GBK" w:eastAsia="方正仿宋_GBK" w:cs="方正仿宋_GBK"/>
          <w:color w:val="auto"/>
          <w:sz w:val="21"/>
          <w:szCs w:val="21"/>
          <w:highlight w:val="none"/>
        </w:rPr>
        <w:t>环境服务有限公司</w:t>
      </w:r>
      <w:r>
        <w:rPr>
          <w:rFonts w:hint="eastAsia" w:ascii="方正仿宋_GBK" w:hAnsi="方正仿宋_GBK" w:eastAsia="方正仿宋_GBK" w:cs="方正仿宋_GBK"/>
          <w:snapToGrid w:val="0"/>
          <w:color w:val="auto"/>
          <w:kern w:val="0"/>
          <w:sz w:val="21"/>
          <w:szCs w:val="21"/>
          <w:highlight w:val="none"/>
        </w:rPr>
        <w:t>。</w:t>
      </w:r>
    </w:p>
    <w:p>
      <w:pPr>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lang w:val="en-US" w:eastAsia="zh-CN"/>
        </w:rPr>
        <w:t>4</w:t>
      </w:r>
      <w:r>
        <w:rPr>
          <w:rFonts w:hint="eastAsia" w:ascii="方正仿宋_GBK" w:hAnsi="方正仿宋_GBK" w:eastAsia="方正仿宋_GBK" w:cs="方正仿宋_GBK"/>
          <w:snapToGrid w:val="0"/>
          <w:color w:val="auto"/>
          <w:kern w:val="0"/>
          <w:sz w:val="21"/>
          <w:szCs w:val="21"/>
          <w:highlight w:val="none"/>
        </w:rPr>
        <w:t>. 工期要求：合同签订后3个月内完工。</w:t>
      </w:r>
    </w:p>
    <w:p>
      <w:pPr>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4"/>
          <w:highlight w:val="none"/>
        </w:rPr>
      </w:pPr>
      <w:r>
        <w:rPr>
          <w:rFonts w:hint="eastAsia" w:ascii="方正仿宋_GBK" w:hAnsi="方正仿宋_GBK" w:eastAsia="方正仿宋_GBK" w:cs="方正仿宋_GBK"/>
          <w:snapToGrid w:val="0"/>
          <w:color w:val="auto"/>
          <w:kern w:val="0"/>
          <w:sz w:val="21"/>
          <w:szCs w:val="21"/>
          <w:highlight w:val="none"/>
          <w:lang w:val="en-US" w:eastAsia="zh-CN"/>
        </w:rPr>
        <w:t>5</w:t>
      </w:r>
      <w:r>
        <w:rPr>
          <w:rFonts w:hint="eastAsia" w:ascii="方正仿宋_GBK" w:hAnsi="方正仿宋_GBK" w:eastAsia="方正仿宋_GBK" w:cs="方正仿宋_GBK"/>
          <w:snapToGrid w:val="0"/>
          <w:color w:val="auto"/>
          <w:kern w:val="0"/>
          <w:sz w:val="21"/>
          <w:szCs w:val="21"/>
          <w:highlight w:val="none"/>
        </w:rPr>
        <w:t>. 质量保修及缺陷责任期要求：24个月。</w:t>
      </w:r>
      <w:r>
        <w:rPr>
          <w:rFonts w:hint="eastAsia" w:ascii="方正仿宋_GBK" w:hAnsi="方正仿宋_GBK" w:eastAsia="方正仿宋_GBK" w:cs="方正仿宋_GBK"/>
          <w:snapToGrid w:val="0"/>
          <w:color w:val="auto"/>
          <w:kern w:val="0"/>
          <w:sz w:val="24"/>
          <w:highlight w:val="none"/>
        </w:rPr>
        <w:t xml:space="preserve"> </w:t>
      </w:r>
    </w:p>
    <w:p>
      <w:pPr>
        <w:pStyle w:val="2"/>
        <w:keepNext w:val="0"/>
        <w:keepLines w:val="0"/>
        <w:pageBreakBefore w:val="0"/>
        <w:numPr>
          <w:ilvl w:val="0"/>
          <w:numId w:val="0"/>
        </w:numPr>
        <w:kinsoku/>
        <w:wordWrap/>
        <w:overflowPunct/>
        <w:topLinePunct w:val="0"/>
        <w:bidi w:val="0"/>
        <w:ind w:firstLine="420" w:firstLineChars="200"/>
        <w:jc w:val="both"/>
        <w:textAlignment w:val="auto"/>
        <w:rPr>
          <w:rFonts w:hint="eastAsia" w:ascii="方正黑体_GBK" w:hAnsi="方正黑体_GBK" w:eastAsia="方正黑体_GBK" w:cs="方正黑体_GBK"/>
          <w:b w:val="0"/>
          <w:bCs/>
          <w:snapToGrid w:val="0"/>
          <w:color w:val="auto"/>
          <w:kern w:val="2"/>
          <w:sz w:val="21"/>
          <w:szCs w:val="21"/>
          <w:highlight w:val="none"/>
          <w:lang w:val="en-US" w:eastAsia="zh-CN" w:bidi="ar-SA"/>
        </w:rPr>
      </w:pPr>
      <w:r>
        <w:rPr>
          <w:rFonts w:hint="eastAsia" w:ascii="方正黑体_GBK" w:hAnsi="方正黑体_GBK" w:eastAsia="方正黑体_GBK" w:cs="方正黑体_GBK"/>
          <w:b w:val="0"/>
          <w:bCs/>
          <w:snapToGrid w:val="0"/>
          <w:color w:val="auto"/>
          <w:kern w:val="2"/>
          <w:sz w:val="21"/>
          <w:szCs w:val="21"/>
          <w:highlight w:val="none"/>
          <w:lang w:val="en-US" w:eastAsia="zh-CN" w:bidi="ar-SA"/>
        </w:rPr>
        <w:t>二、公告时间</w:t>
      </w:r>
    </w:p>
    <w:p>
      <w:pPr>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lang w:val="en-US" w:eastAsia="zh-CN"/>
        </w:rPr>
      </w:pPr>
      <w:r>
        <w:rPr>
          <w:rFonts w:hint="eastAsia" w:ascii="方正仿宋_GBK" w:hAnsi="方正仿宋_GBK" w:eastAsia="方正仿宋_GBK" w:cs="方正仿宋_GBK"/>
          <w:snapToGrid w:val="0"/>
          <w:color w:val="auto"/>
          <w:kern w:val="0"/>
          <w:sz w:val="21"/>
          <w:szCs w:val="21"/>
          <w:highlight w:val="none"/>
          <w:lang w:val="en-US" w:eastAsia="zh-CN"/>
        </w:rPr>
        <w:t>2023年8月18日——2023年8月21日</w:t>
      </w:r>
    </w:p>
    <w:p>
      <w:pPr>
        <w:pStyle w:val="2"/>
        <w:keepNext w:val="0"/>
        <w:keepLines w:val="0"/>
        <w:pageBreakBefore w:val="0"/>
        <w:widowControl w:val="0"/>
        <w:numPr>
          <w:ilvl w:val="0"/>
          <w:numId w:val="1"/>
        </w:numPr>
        <w:kinsoku/>
        <w:wordWrap/>
        <w:overflowPunct/>
        <w:topLinePunct w:val="0"/>
        <w:autoSpaceDE/>
        <w:autoSpaceDN/>
        <w:bidi w:val="0"/>
        <w:adjustRightInd/>
        <w:spacing w:line="400" w:lineRule="exact"/>
        <w:ind w:firstLine="420" w:firstLineChars="200"/>
        <w:jc w:val="both"/>
        <w:textAlignment w:val="auto"/>
        <w:rPr>
          <w:rFonts w:hint="eastAsia" w:ascii="方正黑体_GBK" w:hAnsi="方正黑体_GBK" w:eastAsia="方正黑体_GBK" w:cs="方正黑体_GBK"/>
          <w:b w:val="0"/>
          <w:bCs w:val="0"/>
          <w:color w:val="auto"/>
          <w:kern w:val="2"/>
          <w:sz w:val="21"/>
          <w:szCs w:val="21"/>
          <w:highlight w:val="none"/>
          <w:lang w:val="en-US" w:eastAsia="zh-CN" w:bidi="ar-SA"/>
        </w:rPr>
      </w:pPr>
      <w:r>
        <w:rPr>
          <w:rFonts w:hint="eastAsia" w:ascii="方正黑体_GBK" w:hAnsi="方正黑体_GBK" w:eastAsia="方正黑体_GBK" w:cs="方正黑体_GBK"/>
          <w:b w:val="0"/>
          <w:bCs w:val="0"/>
          <w:color w:val="auto"/>
          <w:kern w:val="2"/>
          <w:sz w:val="21"/>
          <w:szCs w:val="21"/>
          <w:highlight w:val="none"/>
          <w:lang w:val="en-US" w:eastAsia="zh-CN" w:bidi="ar-SA"/>
        </w:rPr>
        <w:t>采购内容及数量</w:t>
      </w:r>
    </w:p>
    <w:p>
      <w:pPr>
        <w:pStyle w:val="3"/>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方正黑体_GBK" w:hAnsi="方正黑体_GBK" w:eastAsia="方正黑体_GBK" w:cs="方正黑体_GBK"/>
          <w:b w:val="0"/>
          <w:bCs w:val="0"/>
          <w:snapToGrid w:val="0"/>
          <w:color w:val="auto"/>
          <w:sz w:val="21"/>
          <w:szCs w:val="21"/>
          <w:highlight w:val="none"/>
          <w:lang w:eastAsia="zh-CN"/>
        </w:rPr>
      </w:pPr>
      <w:bookmarkStart w:id="22" w:name="_Toc287620669"/>
      <w:bookmarkStart w:id="23" w:name="_Toc200359240"/>
      <w:bookmarkStart w:id="24" w:name="_Toc29162"/>
      <w:bookmarkStart w:id="25" w:name="_Toc430530418"/>
      <w:bookmarkStart w:id="26" w:name="_Toc509218694"/>
      <w:bookmarkStart w:id="27" w:name="_Toc200359429"/>
      <w:bookmarkStart w:id="28" w:name="_Toc57820544"/>
      <w:bookmarkStart w:id="29" w:name="_Toc110005765"/>
      <w:bookmarkStart w:id="30" w:name="_Toc287607730"/>
      <w:bookmarkStart w:id="31" w:name="_Toc277082538"/>
      <w:bookmarkStart w:id="32" w:name="_Toc224103301"/>
      <w:r>
        <w:rPr>
          <w:rFonts w:hint="eastAsia" w:ascii="方正仿宋_GBK" w:hAnsi="方正仿宋_GBK" w:eastAsia="方正仿宋_GBK" w:cs="方正仿宋_GBK"/>
          <w:b w:val="0"/>
          <w:bCs w:val="0"/>
          <w:color w:val="auto"/>
          <w:kern w:val="2"/>
          <w:sz w:val="21"/>
          <w:szCs w:val="21"/>
          <w:highlight w:val="none"/>
          <w:lang w:val="en-US" w:eastAsia="zh-CN" w:bidi="ar-SA"/>
        </w:rPr>
        <w:t>详见附件2工程量清单</w:t>
      </w:r>
    </w:p>
    <w:p>
      <w:pPr>
        <w:pStyle w:val="5"/>
        <w:pageBreakBefore w:val="0"/>
        <w:kinsoku/>
        <w:wordWrap/>
        <w:overflowPunct/>
        <w:topLinePunct w:val="0"/>
        <w:bidi w:val="0"/>
        <w:spacing w:before="100" w:after="100" w:line="400" w:lineRule="exact"/>
        <w:ind w:firstLine="420" w:firstLineChars="200"/>
        <w:textAlignment w:val="auto"/>
        <w:rPr>
          <w:rFonts w:hint="eastAsia" w:ascii="方正黑体_GBK" w:hAnsi="方正黑体_GBK" w:eastAsia="方正黑体_GBK" w:cs="方正黑体_GBK"/>
          <w:b w:val="0"/>
          <w:bCs w:val="0"/>
          <w:snapToGrid w:val="0"/>
          <w:color w:val="auto"/>
          <w:sz w:val="21"/>
          <w:szCs w:val="21"/>
          <w:highlight w:val="none"/>
        </w:rPr>
      </w:pPr>
      <w:r>
        <w:rPr>
          <w:rFonts w:hint="eastAsia" w:ascii="方正黑体_GBK" w:hAnsi="方正黑体_GBK" w:eastAsia="方正黑体_GBK" w:cs="方正黑体_GBK"/>
          <w:b w:val="0"/>
          <w:bCs w:val="0"/>
          <w:snapToGrid w:val="0"/>
          <w:color w:val="auto"/>
          <w:sz w:val="21"/>
          <w:szCs w:val="21"/>
          <w:highlight w:val="none"/>
          <w:lang w:eastAsia="zh-CN"/>
        </w:rPr>
        <w:t>四</w:t>
      </w:r>
      <w:r>
        <w:rPr>
          <w:rFonts w:hint="eastAsia" w:ascii="方正黑体_GBK" w:hAnsi="方正黑体_GBK" w:eastAsia="方正黑体_GBK" w:cs="方正黑体_GBK"/>
          <w:b w:val="0"/>
          <w:bCs w:val="0"/>
          <w:snapToGrid w:val="0"/>
          <w:color w:val="auto"/>
          <w:sz w:val="21"/>
          <w:szCs w:val="21"/>
          <w:highlight w:val="none"/>
        </w:rPr>
        <w:t>、竞选人资格要求</w:t>
      </w:r>
      <w:bookmarkEnd w:id="22"/>
      <w:bookmarkEnd w:id="23"/>
      <w:bookmarkEnd w:id="24"/>
      <w:bookmarkEnd w:id="25"/>
      <w:bookmarkEnd w:id="26"/>
      <w:bookmarkEnd w:id="27"/>
      <w:bookmarkEnd w:id="28"/>
      <w:bookmarkEnd w:id="29"/>
      <w:bookmarkEnd w:id="30"/>
      <w:bookmarkEnd w:id="31"/>
      <w:bookmarkEnd w:id="32"/>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rPr>
        <w:t>（一）基本资格条件（竞选人自行提供诚信声明）：</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rPr>
        <w:t>1. 具有独立承担民事责任的能力；</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rPr>
        <w:t>2. 具有良好的商业信誉和健全的财务会计制度；</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rPr>
        <w:t>3. 具有履行合同所必需的设备和专业技术能力；</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rPr>
        <w:t>4. 有依法缴纳税收和社会保障资金的良好记录；</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rPr>
        <w:t>（二）特定资格条件：</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rPr>
        <w:t>1. 竞选人须为独立法人资格，具有有效的营业执照。</w:t>
      </w:r>
    </w:p>
    <w:p>
      <w:pPr>
        <w:pageBreakBefore w:val="0"/>
        <w:widowControl/>
        <w:kinsoku/>
        <w:wordWrap/>
        <w:overflowPunct/>
        <w:topLinePunct w:val="0"/>
        <w:bidi w:val="0"/>
        <w:spacing w:line="400" w:lineRule="exact"/>
        <w:ind w:firstLine="420" w:firstLineChars="200"/>
        <w:jc w:val="left"/>
        <w:textAlignment w:val="auto"/>
        <w:rPr>
          <w:rFonts w:hint="eastAsia" w:ascii="方正仿宋_GBK" w:hAnsi="方正仿宋_GBK" w:eastAsia="方正仿宋_GBK" w:cs="方正仿宋_GBK"/>
          <w:bCs/>
          <w:snapToGrid w:val="0"/>
          <w:color w:val="auto"/>
          <w:sz w:val="21"/>
          <w:szCs w:val="21"/>
          <w:highlight w:val="none"/>
        </w:rPr>
      </w:pPr>
      <w:r>
        <w:rPr>
          <w:rFonts w:hint="eastAsia" w:ascii="方正仿宋_GBK" w:hAnsi="方正仿宋_GBK" w:eastAsia="方正仿宋_GBK" w:cs="方正仿宋_GBK"/>
          <w:bCs/>
          <w:snapToGrid w:val="0"/>
          <w:color w:val="auto"/>
          <w:sz w:val="21"/>
          <w:szCs w:val="21"/>
          <w:highlight w:val="none"/>
        </w:rPr>
        <w:t>2.</w:t>
      </w:r>
      <w:r>
        <w:rPr>
          <w:rFonts w:hint="eastAsia" w:ascii="方正仿宋_GBK" w:hAnsi="方正仿宋_GBK" w:eastAsia="方正仿宋_GBK" w:cs="方正仿宋_GBK"/>
          <w:bCs/>
          <w:snapToGrid w:val="0"/>
          <w:color w:val="auto"/>
          <w:sz w:val="21"/>
          <w:szCs w:val="21"/>
          <w:highlight w:val="none"/>
          <w:lang w:val="en-US" w:eastAsia="zh-CN"/>
        </w:rPr>
        <w:t xml:space="preserve"> </w:t>
      </w:r>
      <w:r>
        <w:rPr>
          <w:rFonts w:hint="eastAsia" w:ascii="方正仿宋_GBK" w:hAnsi="方正仿宋_GBK" w:eastAsia="方正仿宋_GBK" w:cs="方正仿宋_GBK"/>
          <w:bCs/>
          <w:snapToGrid w:val="0"/>
          <w:color w:val="auto"/>
          <w:sz w:val="21"/>
          <w:szCs w:val="21"/>
          <w:highlight w:val="none"/>
        </w:rPr>
        <w:t>竞选人必须具备市政公用工程施工总承包或建筑工程施工总承包叁级及以上资质。</w:t>
      </w:r>
    </w:p>
    <w:p>
      <w:pPr>
        <w:pStyle w:val="2"/>
        <w:pageBreakBefore w:val="0"/>
        <w:kinsoku/>
        <w:wordWrap/>
        <w:overflowPunct/>
        <w:topLinePunct w:val="0"/>
        <w:bidi w:val="0"/>
        <w:spacing w:line="400" w:lineRule="exact"/>
        <w:ind w:firstLine="420" w:firstLineChars="200"/>
        <w:textAlignment w:val="auto"/>
        <w:rPr>
          <w:rFonts w:hint="default" w:eastAsia="方正仿宋_GBK"/>
          <w:highlight w:val="none"/>
          <w:lang w:val="en-US" w:eastAsia="zh-CN"/>
        </w:rPr>
      </w:pPr>
      <w:r>
        <w:rPr>
          <w:rFonts w:hint="eastAsia" w:ascii="方正仿宋_GBK" w:hAnsi="方正仿宋_GBK" w:eastAsia="方正仿宋_GBK" w:cs="方正仿宋_GBK"/>
          <w:bCs/>
          <w:snapToGrid w:val="0"/>
          <w:color w:val="auto"/>
          <w:sz w:val="21"/>
          <w:szCs w:val="21"/>
          <w:highlight w:val="none"/>
          <w:lang w:val="en-US" w:eastAsia="zh-CN"/>
        </w:rPr>
        <w:t xml:space="preserve">3. </w:t>
      </w:r>
      <w:r>
        <w:rPr>
          <w:rFonts w:hint="eastAsia" w:ascii="方正仿宋_GBK" w:hAnsi="方正仿宋_GBK" w:eastAsia="方正仿宋_GBK" w:cs="方正仿宋_GBK"/>
          <w:color w:val="auto"/>
          <w:sz w:val="21"/>
          <w:szCs w:val="21"/>
          <w:highlight w:val="none"/>
        </w:rPr>
        <w:t>具备建设行政主管部门颁发的有效的安全生产许可证，提供复印件，并加盖公章。</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方正仿宋_GBK" w:hAnsi="方正仿宋_GBK" w:eastAsia="方正仿宋_GBK" w:cs="方正仿宋_GBK"/>
          <w:snapToGrid w:val="0"/>
          <w:color w:val="auto"/>
          <w:kern w:val="0"/>
          <w:sz w:val="21"/>
          <w:szCs w:val="21"/>
          <w:highlight w:val="none"/>
        </w:rPr>
      </w:pPr>
      <w:r>
        <w:rPr>
          <w:rFonts w:hint="eastAsia" w:ascii="方正仿宋_GBK" w:hAnsi="方正仿宋_GBK" w:eastAsia="方正仿宋_GBK" w:cs="方正仿宋_GBK"/>
          <w:snapToGrid w:val="0"/>
          <w:color w:val="auto"/>
          <w:kern w:val="0"/>
          <w:sz w:val="21"/>
          <w:szCs w:val="21"/>
          <w:highlight w:val="none"/>
          <w:lang w:val="en-US" w:eastAsia="zh-CN"/>
        </w:rPr>
        <w:t>4</w:t>
      </w:r>
      <w:r>
        <w:rPr>
          <w:rFonts w:hint="eastAsia" w:ascii="方正仿宋_GBK" w:hAnsi="方正仿宋_GBK" w:eastAsia="方正仿宋_GBK" w:cs="方正仿宋_GBK"/>
          <w:snapToGrid w:val="0"/>
          <w:color w:val="auto"/>
          <w:kern w:val="0"/>
          <w:sz w:val="21"/>
          <w:szCs w:val="21"/>
          <w:highlight w:val="none"/>
        </w:rPr>
        <w:t xml:space="preserve">. </w:t>
      </w:r>
      <w:r>
        <w:rPr>
          <w:rFonts w:hint="eastAsia" w:ascii="方正仿宋_GBK" w:hAnsi="方正仿宋_GBK" w:eastAsia="方正仿宋_GBK" w:cs="方正仿宋_GBK"/>
          <w:bCs/>
          <w:snapToGrid w:val="0"/>
          <w:color w:val="auto"/>
          <w:sz w:val="21"/>
          <w:szCs w:val="21"/>
          <w:highlight w:val="none"/>
          <w:lang w:val="en-US" w:eastAsia="zh-CN"/>
        </w:rPr>
        <w:t>本项目</w:t>
      </w:r>
      <w:r>
        <w:rPr>
          <w:rFonts w:hint="eastAsia" w:ascii="方正仿宋_GBK" w:hAnsi="方正仿宋_GBK" w:eastAsia="方正仿宋_GBK" w:cs="方正仿宋_GBK"/>
          <w:bCs/>
          <w:snapToGrid w:val="0"/>
          <w:color w:val="auto"/>
          <w:sz w:val="21"/>
          <w:szCs w:val="21"/>
          <w:highlight w:val="none"/>
        </w:rPr>
        <w:t>不</w:t>
      </w:r>
      <w:r>
        <w:rPr>
          <w:rFonts w:hint="eastAsia" w:ascii="方正仿宋_GBK" w:hAnsi="方正仿宋_GBK" w:eastAsia="方正仿宋_GBK" w:cs="方正仿宋_GBK"/>
          <w:snapToGrid w:val="0"/>
          <w:color w:val="auto"/>
          <w:kern w:val="0"/>
          <w:sz w:val="21"/>
          <w:szCs w:val="21"/>
          <w:highlight w:val="none"/>
        </w:rPr>
        <w:t>接受联合体竞选。</w:t>
      </w:r>
    </w:p>
    <w:p>
      <w:pPr>
        <w:pStyle w:val="2"/>
        <w:pageBreakBefore w:val="0"/>
        <w:kinsoku/>
        <w:wordWrap/>
        <w:overflowPunct/>
        <w:topLinePunct w:val="0"/>
        <w:bidi w:val="0"/>
        <w:spacing w:line="400" w:lineRule="exact"/>
        <w:ind w:firstLine="420" w:firstLineChars="200"/>
        <w:textAlignment w:val="auto"/>
        <w:rPr>
          <w:rFonts w:hint="eastAsia" w:ascii="方正黑体_GBK" w:hAnsi="方正黑体_GBK" w:eastAsia="方正黑体_GBK" w:cs="方正黑体_GBK"/>
          <w:b w:val="0"/>
          <w:bCs w:val="0"/>
          <w:snapToGrid w:val="0"/>
          <w:color w:val="auto"/>
          <w:kern w:val="2"/>
          <w:sz w:val="21"/>
          <w:szCs w:val="21"/>
          <w:highlight w:val="none"/>
          <w:lang w:val="en-US" w:eastAsia="zh-CN" w:bidi="ar-SA"/>
        </w:rPr>
      </w:pPr>
      <w:r>
        <w:rPr>
          <w:rFonts w:hint="eastAsia" w:ascii="方正黑体_GBK" w:hAnsi="方正黑体_GBK" w:eastAsia="方正黑体_GBK" w:cs="方正黑体_GBK"/>
          <w:b w:val="0"/>
          <w:bCs w:val="0"/>
          <w:snapToGrid w:val="0"/>
          <w:color w:val="auto"/>
          <w:kern w:val="2"/>
          <w:sz w:val="21"/>
          <w:szCs w:val="21"/>
          <w:highlight w:val="none"/>
          <w:lang w:val="en-US" w:eastAsia="zh-CN" w:bidi="ar-SA"/>
        </w:rPr>
        <w:t>五、商务要求</w:t>
      </w:r>
    </w:p>
    <w:p>
      <w:pPr>
        <w:pageBreakBefore w:val="0"/>
        <w:widowControl/>
        <w:kinsoku/>
        <w:wordWrap/>
        <w:overflowPunct/>
        <w:topLinePunct w:val="0"/>
        <w:bidi w:val="0"/>
        <w:spacing w:line="400" w:lineRule="exact"/>
        <w:ind w:firstLine="420" w:firstLineChars="200"/>
        <w:jc w:val="left"/>
        <w:textAlignment w:val="auto"/>
        <w:rPr>
          <w:rFonts w:hint="eastAsia" w:ascii="方正仿宋_GBK" w:hAnsi="方正仿宋_GBK" w:eastAsia="方正仿宋_GBK" w:cs="方正仿宋_GBK"/>
          <w:bCs/>
          <w:snapToGrid w:val="0"/>
          <w:color w:val="auto"/>
          <w:sz w:val="21"/>
          <w:szCs w:val="21"/>
          <w:highlight w:val="none"/>
        </w:rPr>
      </w:pPr>
      <w:r>
        <w:rPr>
          <w:rFonts w:hint="eastAsia" w:ascii="方正仿宋_GBK" w:hAnsi="方正仿宋_GBK" w:eastAsia="方正仿宋_GBK" w:cs="方正仿宋_GBK"/>
          <w:bCs/>
          <w:snapToGrid w:val="0"/>
          <w:color w:val="auto"/>
          <w:sz w:val="21"/>
          <w:szCs w:val="21"/>
          <w:highlight w:val="none"/>
        </w:rPr>
        <w:t>（一）合同期限：服务期限自签订之日起</w:t>
      </w:r>
      <w:r>
        <w:rPr>
          <w:rFonts w:hint="eastAsia" w:ascii="方正仿宋_GBK" w:hAnsi="方正仿宋_GBK" w:eastAsia="方正仿宋_GBK" w:cs="方正仿宋_GBK"/>
          <w:bCs/>
          <w:snapToGrid w:val="0"/>
          <w:color w:val="auto"/>
          <w:sz w:val="21"/>
          <w:szCs w:val="21"/>
          <w:highlight w:val="none"/>
          <w:lang w:val="en-US" w:eastAsia="zh-CN"/>
        </w:rPr>
        <w:t>3</w:t>
      </w:r>
      <w:r>
        <w:rPr>
          <w:rFonts w:hint="eastAsia" w:ascii="方正仿宋_GBK" w:hAnsi="方正仿宋_GBK" w:eastAsia="方正仿宋_GBK" w:cs="方正仿宋_GBK"/>
          <w:bCs/>
          <w:snapToGrid w:val="0"/>
          <w:color w:val="auto"/>
          <w:sz w:val="21"/>
          <w:szCs w:val="21"/>
          <w:highlight w:val="none"/>
        </w:rPr>
        <w:t>个自然月内</w:t>
      </w:r>
      <w:r>
        <w:rPr>
          <w:rFonts w:hint="eastAsia" w:ascii="方正仿宋_GBK" w:hAnsi="方正仿宋_GBK" w:eastAsia="方正仿宋_GBK" w:cs="方正仿宋_GBK"/>
          <w:bCs/>
          <w:snapToGrid w:val="0"/>
          <w:color w:val="auto"/>
          <w:sz w:val="21"/>
          <w:szCs w:val="21"/>
          <w:highlight w:val="none"/>
          <w:lang w:eastAsia="zh-CN"/>
        </w:rPr>
        <w:t>完工</w:t>
      </w:r>
      <w:r>
        <w:rPr>
          <w:rFonts w:hint="eastAsia" w:ascii="方正仿宋_GBK" w:hAnsi="方正仿宋_GBK" w:eastAsia="方正仿宋_GBK" w:cs="方正仿宋_GBK"/>
          <w:bCs/>
          <w:snapToGrid w:val="0"/>
          <w:color w:val="auto"/>
          <w:sz w:val="21"/>
          <w:szCs w:val="21"/>
          <w:highlight w:val="none"/>
        </w:rPr>
        <w:t>。</w:t>
      </w:r>
    </w:p>
    <w:p>
      <w:pPr>
        <w:pageBreakBefore w:val="0"/>
        <w:widowControl/>
        <w:kinsoku/>
        <w:wordWrap/>
        <w:overflowPunct/>
        <w:topLinePunct w:val="0"/>
        <w:bidi w:val="0"/>
        <w:spacing w:line="400" w:lineRule="exact"/>
        <w:ind w:firstLine="420" w:firstLineChars="200"/>
        <w:jc w:val="left"/>
        <w:textAlignment w:val="auto"/>
        <w:rPr>
          <w:rFonts w:hint="eastAsia" w:ascii="方正仿宋_GBK" w:hAnsi="方正仿宋_GBK" w:eastAsia="方正仿宋_GBK" w:cs="方正仿宋_GBK"/>
          <w:bCs/>
          <w:snapToGrid w:val="0"/>
          <w:color w:val="auto"/>
          <w:sz w:val="21"/>
          <w:szCs w:val="21"/>
          <w:highlight w:val="none"/>
        </w:rPr>
      </w:pPr>
      <w:r>
        <w:rPr>
          <w:rFonts w:hint="eastAsia" w:ascii="方正仿宋_GBK" w:hAnsi="方正仿宋_GBK" w:eastAsia="方正仿宋_GBK" w:cs="方正仿宋_GBK"/>
          <w:bCs/>
          <w:snapToGrid w:val="0"/>
          <w:color w:val="auto"/>
          <w:sz w:val="21"/>
          <w:szCs w:val="21"/>
          <w:highlight w:val="none"/>
        </w:rPr>
        <w:t>（二）报价要求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bCs/>
          <w:snapToGrid w:val="0"/>
          <w:color w:val="auto"/>
          <w:sz w:val="21"/>
          <w:szCs w:val="21"/>
          <w:highlight w:val="none"/>
        </w:rPr>
      </w:pPr>
      <w:r>
        <w:rPr>
          <w:rFonts w:hint="eastAsia" w:ascii="方正仿宋_GBK" w:hAnsi="方正仿宋_GBK" w:eastAsia="方正仿宋_GBK" w:cs="方正仿宋_GBK"/>
          <w:bCs/>
          <w:snapToGrid w:val="0"/>
          <w:color w:val="auto"/>
          <w:sz w:val="21"/>
          <w:szCs w:val="21"/>
          <w:highlight w:val="none"/>
        </w:rPr>
        <w:t>1.本项目设有最高限价，竞选人竞选时不得超过最高限价，超过则否决其竞选报价。</w:t>
      </w:r>
    </w:p>
    <w:p>
      <w:pPr>
        <w:pStyle w:val="3"/>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Cs/>
          <w:snapToGrid w:val="0"/>
          <w:color w:val="auto"/>
          <w:kern w:val="2"/>
          <w:sz w:val="21"/>
          <w:szCs w:val="21"/>
          <w:highlight w:val="none"/>
          <w:lang w:val="en-US" w:eastAsia="zh-CN" w:bidi="ar-SA"/>
        </w:rPr>
      </w:pPr>
      <w:r>
        <w:rPr>
          <w:rFonts w:hint="eastAsia" w:ascii="方正仿宋_GBK" w:hAnsi="方正仿宋_GBK" w:eastAsia="方正仿宋_GBK" w:cs="方正仿宋_GBK"/>
          <w:snapToGrid w:val="0"/>
          <w:color w:val="auto"/>
          <w:kern w:val="0"/>
          <w:sz w:val="21"/>
          <w:szCs w:val="21"/>
          <w:highlight w:val="none"/>
          <w:lang w:val="en-US" w:eastAsia="zh-CN"/>
        </w:rPr>
        <w:t>2.</w:t>
      </w:r>
      <w:r>
        <w:rPr>
          <w:rFonts w:hint="eastAsia" w:ascii="方正仿宋_GBK" w:hAnsi="方正仿宋_GBK" w:eastAsia="方正仿宋_GBK" w:cs="方正仿宋_GBK"/>
          <w:bCs/>
          <w:snapToGrid w:val="0"/>
          <w:color w:val="auto"/>
          <w:kern w:val="2"/>
          <w:sz w:val="21"/>
          <w:szCs w:val="21"/>
          <w:highlight w:val="none"/>
          <w:lang w:val="en-US" w:eastAsia="zh-CN" w:bidi="ar-SA"/>
        </w:rPr>
        <w:t>报价须为人民币报价，一次性包干总价，竞选报价包含但不限于：材料费、人工费、交通费、运输费、安全费、管理费、利润、各类税费等相关工作所需的一切费。竞选人因自身原因造成漏报、少报皆由其自行承担责任，采购人不再另行支付费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bCs/>
          <w:snapToGrid w:val="0"/>
          <w:color w:val="auto"/>
          <w:sz w:val="21"/>
          <w:szCs w:val="21"/>
          <w:highlight w:val="none"/>
        </w:rPr>
      </w:pPr>
      <w:r>
        <w:rPr>
          <w:rFonts w:hint="eastAsia" w:ascii="方正仿宋_GBK" w:hAnsi="方正仿宋_GBK" w:eastAsia="方正仿宋_GBK" w:cs="方正仿宋_GBK"/>
          <w:bCs/>
          <w:snapToGrid w:val="0"/>
          <w:color w:val="auto"/>
          <w:sz w:val="21"/>
          <w:szCs w:val="21"/>
          <w:highlight w:val="none"/>
        </w:rPr>
        <w:t>（</w:t>
      </w:r>
      <w:r>
        <w:rPr>
          <w:rFonts w:hint="eastAsia" w:ascii="方正仿宋_GBK" w:hAnsi="方正仿宋_GBK" w:eastAsia="方正仿宋_GBK" w:cs="方正仿宋_GBK"/>
          <w:bCs/>
          <w:snapToGrid w:val="0"/>
          <w:color w:val="auto"/>
          <w:sz w:val="21"/>
          <w:szCs w:val="21"/>
          <w:highlight w:val="none"/>
          <w:lang w:eastAsia="zh-CN"/>
        </w:rPr>
        <w:t>三</w:t>
      </w:r>
      <w:r>
        <w:rPr>
          <w:rFonts w:hint="eastAsia" w:ascii="方正仿宋_GBK" w:hAnsi="方正仿宋_GBK" w:eastAsia="方正仿宋_GBK" w:cs="方正仿宋_GBK"/>
          <w:bCs/>
          <w:snapToGrid w:val="0"/>
          <w:color w:val="auto"/>
          <w:sz w:val="21"/>
          <w:szCs w:val="21"/>
          <w:highlight w:val="none"/>
        </w:rPr>
        <w:t>）违约责任：服务期限自签订之日起至</w:t>
      </w:r>
      <w:r>
        <w:rPr>
          <w:rFonts w:hint="eastAsia" w:ascii="方正仿宋_GBK" w:hAnsi="方正仿宋_GBK" w:eastAsia="方正仿宋_GBK" w:cs="方正仿宋_GBK"/>
          <w:bCs/>
          <w:snapToGrid w:val="0"/>
          <w:color w:val="auto"/>
          <w:sz w:val="21"/>
          <w:szCs w:val="21"/>
          <w:highlight w:val="none"/>
          <w:lang w:val="en-US" w:eastAsia="zh-CN"/>
        </w:rPr>
        <w:t>3</w:t>
      </w:r>
      <w:r>
        <w:rPr>
          <w:rFonts w:hint="eastAsia" w:ascii="方正仿宋_GBK" w:hAnsi="方正仿宋_GBK" w:eastAsia="方正仿宋_GBK" w:cs="方正仿宋_GBK"/>
          <w:bCs/>
          <w:snapToGrid w:val="0"/>
          <w:color w:val="auto"/>
          <w:sz w:val="21"/>
          <w:szCs w:val="21"/>
          <w:highlight w:val="none"/>
        </w:rPr>
        <w:t>个自然月内</w:t>
      </w:r>
      <w:r>
        <w:rPr>
          <w:rFonts w:hint="eastAsia" w:ascii="方正仿宋_GBK" w:hAnsi="方正仿宋_GBK" w:eastAsia="方正仿宋_GBK" w:cs="方正仿宋_GBK"/>
          <w:bCs/>
          <w:snapToGrid w:val="0"/>
          <w:color w:val="auto"/>
          <w:sz w:val="21"/>
          <w:szCs w:val="21"/>
          <w:highlight w:val="none"/>
          <w:lang w:eastAsia="zh-CN"/>
        </w:rPr>
        <w:t>完工</w:t>
      </w:r>
      <w:r>
        <w:rPr>
          <w:rFonts w:hint="eastAsia" w:ascii="方正仿宋_GBK" w:hAnsi="方正仿宋_GBK" w:eastAsia="方正仿宋_GBK" w:cs="方正仿宋_GBK"/>
          <w:bCs/>
          <w:snapToGrid w:val="0"/>
          <w:color w:val="auto"/>
          <w:sz w:val="21"/>
          <w:szCs w:val="21"/>
          <w:highlight w:val="none"/>
        </w:rPr>
        <w:t>，每延迟一天按合同</w:t>
      </w:r>
      <w:r>
        <w:rPr>
          <w:rFonts w:hint="eastAsia" w:ascii="方正仿宋_GBK" w:hAnsi="方正仿宋_GBK" w:eastAsia="方正仿宋_GBK" w:cs="方正仿宋_GBK"/>
          <w:bCs/>
          <w:snapToGrid w:val="0"/>
          <w:color w:val="auto"/>
          <w:sz w:val="21"/>
          <w:szCs w:val="21"/>
          <w:highlight w:val="none"/>
          <w:lang w:eastAsia="zh-CN"/>
        </w:rPr>
        <w:t>违约责任</w:t>
      </w:r>
      <w:r>
        <w:rPr>
          <w:rFonts w:hint="eastAsia" w:ascii="方正仿宋_GBK" w:hAnsi="方正仿宋_GBK" w:eastAsia="方正仿宋_GBK" w:cs="方正仿宋_GBK"/>
          <w:bCs/>
          <w:snapToGrid w:val="0"/>
          <w:color w:val="auto"/>
          <w:sz w:val="21"/>
          <w:szCs w:val="21"/>
          <w:highlight w:val="none"/>
        </w:rPr>
        <w:t>扣除</w:t>
      </w:r>
      <w:r>
        <w:rPr>
          <w:rFonts w:hint="eastAsia" w:ascii="方正仿宋_GBK" w:hAnsi="方正仿宋_GBK" w:eastAsia="方正仿宋_GBK" w:cs="方正仿宋_GBK"/>
          <w:bCs/>
          <w:snapToGrid w:val="0"/>
          <w:color w:val="auto"/>
          <w:sz w:val="21"/>
          <w:szCs w:val="21"/>
          <w:highlight w:val="none"/>
          <w:lang w:eastAsia="zh-CN"/>
        </w:rPr>
        <w:t>相应</w:t>
      </w:r>
      <w:r>
        <w:rPr>
          <w:rFonts w:hint="eastAsia" w:ascii="方正仿宋_GBK" w:hAnsi="方正仿宋_GBK" w:eastAsia="方正仿宋_GBK" w:cs="方正仿宋_GBK"/>
          <w:bCs/>
          <w:snapToGrid w:val="0"/>
          <w:color w:val="auto"/>
          <w:sz w:val="21"/>
          <w:szCs w:val="21"/>
          <w:highlight w:val="none"/>
        </w:rPr>
        <w:t>违约金；</w:t>
      </w:r>
      <w:r>
        <w:rPr>
          <w:rFonts w:hint="eastAsia" w:ascii="方正仿宋_GBK" w:hAnsi="方正仿宋_GBK" w:eastAsia="方正仿宋_GBK" w:cs="方正仿宋_GBK"/>
          <w:bCs/>
          <w:snapToGrid w:val="0"/>
          <w:color w:val="auto"/>
          <w:sz w:val="21"/>
          <w:szCs w:val="21"/>
          <w:highlight w:val="none"/>
          <w:lang w:eastAsia="zh-CN"/>
        </w:rPr>
        <w:t>完工时间</w:t>
      </w:r>
      <w:r>
        <w:rPr>
          <w:rFonts w:hint="eastAsia" w:ascii="方正仿宋_GBK" w:hAnsi="方正仿宋_GBK" w:eastAsia="方正仿宋_GBK" w:cs="方正仿宋_GBK"/>
          <w:bCs/>
          <w:snapToGrid w:val="0"/>
          <w:color w:val="auto"/>
          <w:sz w:val="21"/>
          <w:szCs w:val="21"/>
          <w:highlight w:val="none"/>
        </w:rPr>
        <w:t>延迟满30天</w:t>
      </w:r>
      <w:r>
        <w:rPr>
          <w:rFonts w:hint="eastAsia" w:ascii="方正仿宋_GBK" w:hAnsi="方正仿宋_GBK" w:eastAsia="方正仿宋_GBK" w:cs="方正仿宋_GBK"/>
          <w:bCs/>
          <w:snapToGrid w:val="0"/>
          <w:color w:val="auto"/>
          <w:sz w:val="21"/>
          <w:szCs w:val="21"/>
          <w:highlight w:val="none"/>
          <w:lang w:eastAsia="zh-CN"/>
        </w:rPr>
        <w:t>及以上</w:t>
      </w:r>
      <w:r>
        <w:rPr>
          <w:rFonts w:hint="eastAsia" w:ascii="方正仿宋_GBK" w:hAnsi="方正仿宋_GBK" w:eastAsia="方正仿宋_GBK" w:cs="方正仿宋_GBK"/>
          <w:bCs/>
          <w:snapToGrid w:val="0"/>
          <w:color w:val="auto"/>
          <w:sz w:val="21"/>
          <w:szCs w:val="21"/>
          <w:highlight w:val="none"/>
        </w:rPr>
        <w:t>，采购人可解除合同。</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Cs/>
          <w:snapToGrid w:val="0"/>
          <w:color w:val="auto"/>
          <w:kern w:val="2"/>
          <w:sz w:val="21"/>
          <w:szCs w:val="21"/>
          <w:highlight w:val="none"/>
          <w:lang w:val="en-US" w:eastAsia="zh-CN" w:bidi="ar-SA"/>
        </w:rPr>
      </w:pPr>
      <w:r>
        <w:rPr>
          <w:rFonts w:hint="eastAsia" w:ascii="方正仿宋_GBK" w:hAnsi="方正仿宋_GBK" w:eastAsia="方正仿宋_GBK" w:cs="方正仿宋_GBK"/>
          <w:bCs/>
          <w:snapToGrid w:val="0"/>
          <w:color w:val="auto"/>
          <w:kern w:val="2"/>
          <w:sz w:val="21"/>
          <w:szCs w:val="21"/>
          <w:highlight w:val="none"/>
          <w:lang w:val="en-US" w:eastAsia="zh-CN" w:bidi="ar-SA"/>
        </w:rPr>
        <w:t>（四）付款方式</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bCs/>
          <w:snapToGrid w:val="0"/>
          <w:color w:val="auto"/>
          <w:sz w:val="21"/>
          <w:szCs w:val="21"/>
          <w:highlight w:val="none"/>
        </w:rPr>
        <w:t>对公转账</w:t>
      </w:r>
      <w:r>
        <w:rPr>
          <w:rFonts w:hint="eastAsia" w:ascii="方正仿宋_GBK" w:hAnsi="方正仿宋_GBK" w:eastAsia="方正仿宋_GBK" w:cs="方正仿宋_GBK"/>
          <w:bCs/>
          <w:snapToGrid w:val="0"/>
          <w:color w:val="auto"/>
          <w:sz w:val="21"/>
          <w:szCs w:val="21"/>
          <w:highlight w:val="none"/>
          <w:lang w:eastAsia="zh-CN"/>
        </w:rPr>
        <w:t>，</w:t>
      </w:r>
      <w:r>
        <w:rPr>
          <w:rFonts w:hint="eastAsia" w:ascii="方正仿宋_GBK" w:hAnsi="方正仿宋_GBK" w:eastAsia="方正仿宋_GBK" w:cs="方正仿宋_GBK"/>
          <w:bCs/>
          <w:snapToGrid w:val="0"/>
          <w:color w:val="auto"/>
          <w:sz w:val="21"/>
          <w:szCs w:val="21"/>
          <w:highlight w:val="none"/>
        </w:rPr>
        <w:t>本合</w:t>
      </w:r>
      <w:r>
        <w:rPr>
          <w:rFonts w:hint="eastAsia" w:ascii="方正仿宋_GBK" w:hAnsi="方正仿宋_GBK" w:eastAsia="方正仿宋_GBK" w:cs="方正仿宋_GBK"/>
          <w:color w:val="auto"/>
          <w:sz w:val="21"/>
          <w:szCs w:val="21"/>
          <w:highlight w:val="none"/>
        </w:rPr>
        <w:t>同不支付预付款。</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工程完工经采购人验收合格后，竞选人提供满足税法规定的足额增值税专用发票以及采购人要求的其他支付或结算资料，双方办理完《结算单》等结算手续后15个工作日内，采购人向竞选人支付至结算金额的97%。</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3、留结算金额的3%作为合同质保金，待质保期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两年</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满后双方办理完《质量保修责任期终止报告》后15个工作日内，经双方确认无任何工程质量缺陷后，采购人一次性无息支付给竞选人。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（1）支付申请、进度、结算单（加盖竞选人公章）；</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（2）经双方签章确认的验收单；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（3）提供满足税法规定的完备的发票；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（4）采购人要求的其他支付/结算资料；</w:t>
      </w:r>
    </w:p>
    <w:p>
      <w:pPr>
        <w:ind w:firstLine="420" w:firstLineChars="200"/>
        <w:rPr>
          <w:rFonts w:hint="default" w:ascii="方正仿宋_GBK" w:hAnsi="方正仿宋_GBK" w:eastAsia="方正仿宋_GBK" w:cs="方正仿宋_GBK"/>
          <w:bCs/>
          <w:snapToGrid w:val="0"/>
          <w:color w:val="auto"/>
          <w:kern w:val="2"/>
          <w:sz w:val="21"/>
          <w:szCs w:val="21"/>
          <w:highlight w:val="none"/>
          <w:lang w:val="en-US" w:eastAsia="zh-CN" w:bidi="ar-SA"/>
        </w:rPr>
      </w:pPr>
      <w:r>
        <w:rPr>
          <w:rFonts w:hint="eastAsia" w:ascii="方正仿宋_GBK" w:hAnsi="方正仿宋_GBK" w:eastAsia="方正仿宋_GBK" w:cs="方正仿宋_GBK"/>
          <w:bCs/>
          <w:snapToGrid w:val="0"/>
          <w:color w:val="auto"/>
          <w:kern w:val="2"/>
          <w:sz w:val="21"/>
          <w:szCs w:val="21"/>
          <w:highlight w:val="none"/>
          <w:lang w:val="en-US" w:eastAsia="zh-CN" w:bidi="ar-SA"/>
        </w:rPr>
        <w:t>（五）质保期</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此次</w:t>
      </w:r>
      <w:r>
        <w:rPr>
          <w:rFonts w:hint="eastAsia" w:ascii="方正仿宋_GBK" w:hAnsi="方正仿宋_GBK" w:eastAsia="方正仿宋_GBK" w:cs="方正仿宋_GBK"/>
          <w:color w:val="auto"/>
          <w:sz w:val="21"/>
          <w:szCs w:val="21"/>
          <w:highlight w:val="none"/>
          <w:lang w:eastAsia="zh-CN"/>
        </w:rPr>
        <w:t>场地建设</w:t>
      </w:r>
      <w:r>
        <w:rPr>
          <w:rFonts w:hint="eastAsia" w:ascii="方正仿宋_GBK" w:hAnsi="方正仿宋_GBK" w:eastAsia="方正仿宋_GBK" w:cs="方正仿宋_GBK"/>
          <w:color w:val="auto"/>
          <w:sz w:val="21"/>
          <w:szCs w:val="21"/>
          <w:highlight w:val="none"/>
        </w:rPr>
        <w:t xml:space="preserve">项目质保期为 </w:t>
      </w:r>
      <w:r>
        <w:rPr>
          <w:rFonts w:hint="eastAsia" w:ascii="方正仿宋_GBK" w:hAnsi="方正仿宋_GBK" w:eastAsia="方正仿宋_GBK" w:cs="方正仿宋_GBK"/>
          <w:color w:val="auto"/>
          <w:sz w:val="21"/>
          <w:szCs w:val="21"/>
          <w:highlight w:val="none"/>
          <w:lang w:val="en-US" w:eastAsia="zh-CN"/>
        </w:rPr>
        <w:t>24</w:t>
      </w:r>
      <w:r>
        <w:rPr>
          <w:rFonts w:hint="eastAsia" w:ascii="方正仿宋_GBK" w:hAnsi="方正仿宋_GBK" w:eastAsia="方正仿宋_GBK" w:cs="方正仿宋_GBK"/>
          <w:color w:val="auto"/>
          <w:sz w:val="21"/>
          <w:szCs w:val="21"/>
          <w:highlight w:val="none"/>
        </w:rPr>
        <w:t xml:space="preserve"> 个月，从验收合格后第二日开始计算</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质保期内</w:t>
      </w:r>
      <w:r>
        <w:rPr>
          <w:rFonts w:hint="eastAsia" w:ascii="方正仿宋_GBK" w:hAnsi="方正仿宋_GBK" w:eastAsia="方正仿宋_GBK" w:cs="方正仿宋_GBK"/>
          <w:color w:val="auto"/>
          <w:sz w:val="21"/>
          <w:szCs w:val="21"/>
          <w:highlight w:val="none"/>
          <w:lang w:eastAsia="zh-CN"/>
        </w:rPr>
        <w:t>若出现工程质量问题，竞选人应免费</w:t>
      </w:r>
      <w:r>
        <w:rPr>
          <w:rFonts w:hint="eastAsia" w:ascii="方正仿宋_GBK" w:hAnsi="方正仿宋_GBK" w:eastAsia="方正仿宋_GBK" w:cs="方正仿宋_GBK"/>
          <w:color w:val="auto"/>
          <w:sz w:val="21"/>
          <w:szCs w:val="21"/>
          <w:highlight w:val="none"/>
        </w:rPr>
        <w:t>返修。</w:t>
      </w:r>
    </w:p>
    <w:p>
      <w:pPr>
        <w:pStyle w:val="2"/>
        <w:pageBreakBefore w:val="0"/>
        <w:numPr>
          <w:ilvl w:val="0"/>
          <w:numId w:val="2"/>
        </w:numPr>
        <w:kinsoku/>
        <w:wordWrap/>
        <w:overflowPunct/>
        <w:topLinePunct w:val="0"/>
        <w:bidi w:val="0"/>
        <w:spacing w:line="400" w:lineRule="exact"/>
        <w:ind w:firstLine="420" w:firstLineChars="200"/>
        <w:textAlignment w:val="auto"/>
        <w:rPr>
          <w:rFonts w:hint="eastAsia" w:ascii="方正黑体_GBK" w:hAnsi="方正黑体_GBK" w:eastAsia="方正黑体_GBK" w:cs="方正黑体_GBK"/>
          <w:b w:val="0"/>
          <w:bCs w:val="0"/>
          <w:snapToGrid w:val="0"/>
          <w:color w:val="auto"/>
          <w:kern w:val="2"/>
          <w:sz w:val="21"/>
          <w:szCs w:val="21"/>
          <w:highlight w:val="none"/>
          <w:lang w:val="en-US" w:eastAsia="zh-CN" w:bidi="ar-SA"/>
        </w:rPr>
      </w:pPr>
      <w:r>
        <w:rPr>
          <w:rFonts w:hint="eastAsia" w:ascii="方正黑体_GBK" w:hAnsi="方正黑体_GBK" w:eastAsia="方正黑体_GBK" w:cs="方正黑体_GBK"/>
          <w:b w:val="0"/>
          <w:bCs w:val="0"/>
          <w:snapToGrid w:val="0"/>
          <w:color w:val="auto"/>
          <w:kern w:val="2"/>
          <w:sz w:val="21"/>
          <w:szCs w:val="21"/>
          <w:highlight w:val="none"/>
          <w:lang w:val="en-US" w:eastAsia="zh-CN" w:bidi="ar-SA"/>
        </w:rPr>
        <w:t>低价风险担保</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1、低价风险担保：中选价低于最高限价的85%时提供，如不按时足额提供，视为中选人放弃中选，</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人有权不退还其竞选保证金，并报</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行政监督部门按照信用管理办法的规定处理。若竞选人为联合体，由联合体牵头人或按照联合体协议的约定提交低价风险担保。</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2、中选人提供低价风险担保的形式、金额及期限：</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低价风险担保的形式：现金或银行保函或现金+银行保函的组合；采用银行保函形式的，保函必须为不可撤销、不可转让且见索即付的独立保函，保函格式详见第七章其他资料，中选人出具保函时，不得修改“低价风险担保保函”名称，也不得对低价风险担保保函示范文本中付款条件等实质性内容进行修改，否则视为不符合</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文件规定。</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（2）低价风险担保的金额：（合同估算总价/最高限价）×（最高限价×85%-中选价）×3，且最高不超过合同估算总价的85%。</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（3）低价风险担保送达</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人的时间：从</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人成交通知书送达拟中选人之日起 10 工作日内；</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（4）中选人因自身原因未按成交通知书规定的时限与</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人签订合同的，</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人有权扣除其低价风险担保并取消中选资格。</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（5）低价风险担保的期限：自低价风险担保生效之日起至竣工验收合格之日止。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3、低价风险担保的退还时间：采用现金担保的，项目验收合格之日</w:t>
      </w:r>
      <w:r>
        <w:rPr>
          <w:rFonts w:hint="eastAsia" w:ascii="方正仿宋_GBK" w:hAnsi="方正仿宋_GBK" w:eastAsia="方正仿宋_GBK" w:cs="方正仿宋_GBK"/>
          <w:color w:val="auto"/>
          <w:sz w:val="21"/>
          <w:szCs w:val="21"/>
          <w:highlight w:val="none"/>
          <w:lang w:eastAsia="zh-CN"/>
        </w:rPr>
        <w:t>起</w:t>
      </w:r>
      <w:r>
        <w:rPr>
          <w:rFonts w:hint="eastAsia" w:ascii="方正仿宋_GBK" w:hAnsi="方正仿宋_GBK" w:eastAsia="方正仿宋_GBK" w:cs="方正仿宋_GBK"/>
          <w:color w:val="auto"/>
          <w:sz w:val="21"/>
          <w:szCs w:val="21"/>
          <w:highlight w:val="none"/>
        </w:rPr>
        <w:t>14天内退还，合同履行期间允许</w:t>
      </w:r>
      <w:r>
        <w:rPr>
          <w:rFonts w:hint="eastAsia" w:ascii="方正仿宋_GBK" w:hAnsi="方正仿宋_GBK" w:eastAsia="方正仿宋_GBK" w:cs="方正仿宋_GBK"/>
          <w:color w:val="auto"/>
          <w:sz w:val="21"/>
          <w:szCs w:val="21"/>
          <w:highlight w:val="none"/>
          <w:lang w:eastAsia="zh-CN"/>
        </w:rPr>
        <w:t>竞选</w:t>
      </w:r>
      <w:r>
        <w:rPr>
          <w:rFonts w:hint="eastAsia" w:ascii="方正仿宋_GBK" w:hAnsi="方正仿宋_GBK" w:eastAsia="方正仿宋_GBK" w:cs="方正仿宋_GBK"/>
          <w:color w:val="auto"/>
          <w:sz w:val="21"/>
          <w:szCs w:val="21"/>
          <w:highlight w:val="none"/>
        </w:rPr>
        <w:t>人用符合要求的银行保函进行置换；采用银行保函的，项目验收合格之日</w:t>
      </w:r>
      <w:r>
        <w:rPr>
          <w:rFonts w:hint="eastAsia" w:ascii="方正仿宋_GBK" w:hAnsi="方正仿宋_GBK" w:eastAsia="方正仿宋_GBK" w:cs="方正仿宋_GBK"/>
          <w:color w:val="auto"/>
          <w:sz w:val="21"/>
          <w:szCs w:val="21"/>
          <w:highlight w:val="none"/>
          <w:lang w:eastAsia="zh-CN"/>
        </w:rPr>
        <w:t>起</w:t>
      </w:r>
      <w:r>
        <w:rPr>
          <w:rFonts w:hint="eastAsia" w:ascii="方正仿宋_GBK" w:hAnsi="方正仿宋_GBK" w:eastAsia="方正仿宋_GBK" w:cs="方正仿宋_GBK"/>
          <w:color w:val="auto"/>
          <w:sz w:val="21"/>
          <w:szCs w:val="21"/>
          <w:highlight w:val="none"/>
        </w:rPr>
        <w:t>14天内退还。</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4、拟中选人或者中选人放弃中选项目，无正当理由不与</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人签订合同，在签订合同时向</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人提出附加条件或者更改合同实质性内容，或者拒不按照</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文件规定提交低价风险担保或履约担保的，取消其中选资格，给</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人造成的损失拟中选人或中选人应予以赔偿。</w:t>
      </w:r>
    </w:p>
    <w:p>
      <w:pPr>
        <w:pStyle w:val="2"/>
        <w:pageBreakBefore w:val="0"/>
        <w:kinsoku/>
        <w:wordWrap/>
        <w:overflowPunct/>
        <w:topLinePunct w:val="0"/>
        <w:bidi w:val="0"/>
        <w:spacing w:line="400" w:lineRule="exact"/>
        <w:ind w:firstLine="420" w:firstLineChars="200"/>
        <w:textAlignment w:val="auto"/>
        <w:rPr>
          <w:rFonts w:hint="eastAsia" w:ascii="方正黑体_GBK" w:hAnsi="方正黑体_GBK" w:eastAsia="方正黑体_GBK" w:cs="方正黑体_GBK"/>
          <w:b w:val="0"/>
          <w:bCs w:val="0"/>
          <w:snapToGrid w:val="0"/>
          <w:color w:val="auto"/>
          <w:kern w:val="2"/>
          <w:sz w:val="21"/>
          <w:szCs w:val="21"/>
          <w:highlight w:val="none"/>
          <w:lang w:val="en-US" w:eastAsia="zh-CN" w:bidi="ar-SA"/>
        </w:rPr>
      </w:pPr>
      <w:r>
        <w:rPr>
          <w:rFonts w:hint="eastAsia" w:ascii="方正黑体_GBK" w:hAnsi="方正黑体_GBK" w:eastAsia="方正黑体_GBK" w:cs="方正黑体_GBK"/>
          <w:b w:val="0"/>
          <w:bCs w:val="0"/>
          <w:snapToGrid w:val="0"/>
          <w:color w:val="auto"/>
          <w:kern w:val="2"/>
          <w:sz w:val="21"/>
          <w:szCs w:val="21"/>
          <w:highlight w:val="none"/>
          <w:lang w:val="en-US" w:eastAsia="zh-CN" w:bidi="ar-SA"/>
        </w:rPr>
        <w:t>七、响应文件</w:t>
      </w:r>
    </w:p>
    <w:p>
      <w:pPr>
        <w:keepNext w:val="0"/>
        <w:keepLines w:val="0"/>
        <w:pageBreakBefore w:val="0"/>
        <w:kinsoku/>
        <w:wordWrap/>
        <w:overflowPunct/>
        <w:topLinePunct w:val="0"/>
        <w:bidi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（一）响应文件编制：竞选人应当按照采购人给定的格式编制响应文件；</w:t>
      </w:r>
    </w:p>
    <w:p>
      <w:pPr>
        <w:keepNext w:val="0"/>
        <w:keepLines w:val="0"/>
        <w:pageBreakBefore w:val="0"/>
        <w:kinsoku/>
        <w:wordWrap/>
        <w:overflowPunct/>
        <w:topLinePunct w:val="0"/>
        <w:bidi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（二）响应文件签字或盖章要求：响应文件格式中要求竞选人法定代表人（或委托代理人）签字（或盖章）的必须齐全，响应文件每页需加盖公章；</w:t>
      </w:r>
    </w:p>
    <w:p>
      <w:pPr>
        <w:keepNext w:val="0"/>
        <w:keepLines w:val="0"/>
        <w:pageBreakBefore w:val="0"/>
        <w:kinsoku/>
        <w:wordWrap/>
        <w:overflowPunct/>
        <w:topLinePunct w:val="0"/>
        <w:bidi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（三）响应文件份数：竞选人需提交响应文件正本一份，副本二份，副本可以为正本的复印件；正本与副本不一致时，以正本为准；</w:t>
      </w:r>
    </w:p>
    <w:p>
      <w:pPr>
        <w:keepNext w:val="0"/>
        <w:keepLines w:val="0"/>
        <w:pageBreakBefore w:val="0"/>
        <w:kinsoku/>
        <w:wordWrap/>
        <w:overflowPunct/>
        <w:topLinePunct w:val="0"/>
        <w:bidi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（四）响应文件密封与标记：响应文件的正本、副本应当密封在一个文件袋内，文件袋封口处应加盖竞选人公章。文件袋上应写明项目名称、竞选人名称，并加盖公章。</w:t>
      </w:r>
    </w:p>
    <w:p>
      <w:pPr>
        <w:keepNext w:val="0"/>
        <w:keepLines w:val="0"/>
        <w:pageBreakBefore w:val="0"/>
        <w:kinsoku/>
        <w:wordWrap/>
        <w:overflowPunct/>
        <w:topLinePunct w:val="0"/>
        <w:bidi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（五）响应文件递交</w:t>
      </w:r>
    </w:p>
    <w:p>
      <w:pPr>
        <w:keepNext w:val="0"/>
        <w:keepLines w:val="0"/>
        <w:pageBreakBefore w:val="0"/>
        <w:kinsoku/>
        <w:wordWrap/>
        <w:overflowPunct/>
        <w:topLinePunct w:val="0"/>
        <w:bidi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递交地点：</w:t>
      </w:r>
      <w:r>
        <w:rPr>
          <w:rFonts w:hint="eastAsia" w:ascii="方正仿宋_GBK" w:hAnsi="方正仿宋_GBK" w:eastAsia="方正仿宋_GBK" w:cs="方正仿宋_GBK"/>
          <w:color w:val="auto"/>
          <w:sz w:val="21"/>
          <w:szCs w:val="21"/>
          <w:highlight w:val="none"/>
          <w:lang w:eastAsia="zh-CN"/>
        </w:rPr>
        <w:t>重庆市綦江区文龙街道通惠大道</w:t>
      </w:r>
      <w:r>
        <w:rPr>
          <w:rFonts w:hint="eastAsia" w:ascii="方正仿宋_GBK" w:hAnsi="方正仿宋_GBK" w:eastAsia="方正仿宋_GBK" w:cs="方正仿宋_GBK"/>
          <w:color w:val="auto"/>
          <w:sz w:val="21"/>
          <w:szCs w:val="21"/>
          <w:highlight w:val="none"/>
          <w:lang w:val="en-US" w:eastAsia="zh-CN"/>
        </w:rPr>
        <w:t>32号时代天骄附9号2-7</w:t>
      </w:r>
    </w:p>
    <w:p>
      <w:pPr>
        <w:keepNext w:val="0"/>
        <w:keepLines w:val="0"/>
        <w:pageBreakBefore w:val="0"/>
        <w:kinsoku/>
        <w:wordWrap/>
        <w:overflowPunct/>
        <w:topLinePunct w:val="0"/>
        <w:bidi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递交时间：</w:t>
      </w:r>
      <w:r>
        <w:rPr>
          <w:rFonts w:hint="eastAsia" w:ascii="方正仿宋_GBK" w:hAnsi="方正仿宋_GBK" w:eastAsia="方正仿宋_GBK" w:cs="方正仿宋_GBK"/>
          <w:color w:val="auto"/>
          <w:sz w:val="21"/>
          <w:szCs w:val="21"/>
          <w:highlight w:val="none"/>
        </w:rPr>
        <w:tab/>
      </w:r>
      <w:r>
        <w:rPr>
          <w:rFonts w:hint="eastAsia" w:ascii="方正仿宋_GBK" w:hAnsi="方正仿宋_GBK" w:eastAsia="方正仿宋_GBK" w:cs="方正仿宋_GBK"/>
          <w:color w:val="auto"/>
          <w:sz w:val="21"/>
          <w:szCs w:val="21"/>
          <w:highlight w:val="none"/>
        </w:rPr>
        <w:t>2023年</w:t>
      </w: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rPr>
        <w:t>月</w:t>
      </w:r>
      <w:r>
        <w:rPr>
          <w:rFonts w:hint="eastAsia" w:ascii="方正仿宋_GBK" w:hAnsi="方正仿宋_GBK" w:eastAsia="方正仿宋_GBK" w:cs="方正仿宋_GBK"/>
          <w:color w:val="auto"/>
          <w:sz w:val="21"/>
          <w:szCs w:val="21"/>
          <w:highlight w:val="none"/>
          <w:lang w:val="en-US" w:eastAsia="zh-CN"/>
        </w:rPr>
        <w:t>21</w:t>
      </w:r>
      <w:bookmarkStart w:id="110" w:name="_GoBack"/>
      <w:bookmarkEnd w:id="110"/>
      <w:r>
        <w:rPr>
          <w:rFonts w:hint="eastAsia" w:ascii="方正仿宋_GBK" w:hAnsi="方正仿宋_GBK" w:eastAsia="方正仿宋_GBK" w:cs="方正仿宋_GBK"/>
          <w:color w:val="auto"/>
          <w:sz w:val="21"/>
          <w:szCs w:val="21"/>
          <w:highlight w:val="none"/>
        </w:rPr>
        <w:t>日17时前，逾期递交或未递交至指定地点的响应文件，采购人不予接受；未按采购人要求进行密封与标记的响应文件，采购人不予接受。</w:t>
      </w:r>
    </w:p>
    <w:p>
      <w:pPr>
        <w:keepNext w:val="0"/>
        <w:keepLines w:val="0"/>
        <w:pageBreakBefore w:val="0"/>
        <w:kinsoku/>
        <w:wordWrap/>
        <w:overflowPunct/>
        <w:topLinePunct w:val="0"/>
        <w:bidi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3、本项目不接受竞选人以邮寄方式递交响应文件。</w:t>
      </w:r>
    </w:p>
    <w:p>
      <w:pPr>
        <w:pStyle w:val="2"/>
        <w:pageBreakBefore w:val="0"/>
        <w:kinsoku/>
        <w:wordWrap/>
        <w:overflowPunct/>
        <w:topLinePunct w:val="0"/>
        <w:bidi w:val="0"/>
        <w:spacing w:line="400" w:lineRule="exact"/>
        <w:ind w:firstLine="420" w:firstLineChars="200"/>
        <w:textAlignment w:val="auto"/>
        <w:rPr>
          <w:rFonts w:hint="eastAsia" w:ascii="方正黑体_GBK" w:hAnsi="方正黑体_GBK" w:eastAsia="方正黑体_GBK" w:cs="方正黑体_GBK"/>
          <w:b w:val="0"/>
          <w:bCs w:val="0"/>
          <w:snapToGrid w:val="0"/>
          <w:color w:val="auto"/>
          <w:kern w:val="2"/>
          <w:sz w:val="21"/>
          <w:szCs w:val="21"/>
          <w:highlight w:val="none"/>
          <w:lang w:val="en-US" w:eastAsia="zh-CN" w:bidi="ar-SA"/>
        </w:rPr>
      </w:pPr>
      <w:r>
        <w:rPr>
          <w:rFonts w:hint="eastAsia" w:ascii="方正黑体_GBK" w:hAnsi="方正黑体_GBK" w:eastAsia="方正黑体_GBK" w:cs="方正黑体_GBK"/>
          <w:b w:val="0"/>
          <w:bCs w:val="0"/>
          <w:snapToGrid w:val="0"/>
          <w:color w:val="auto"/>
          <w:kern w:val="2"/>
          <w:sz w:val="21"/>
          <w:szCs w:val="21"/>
          <w:highlight w:val="none"/>
          <w:lang w:val="en-US" w:eastAsia="zh-CN" w:bidi="ar-SA"/>
        </w:rPr>
        <w:t>八、评审方式</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本项目的评审方式为：评审工作由采购人负责组织，具体评审事务由采购人依法组建的评审小组负责，评审小组对竞选人提交的响应文件中的资格证明、有效性、完整性进行审查，经审查合格的竞选人为符合资格的竞选人，所有符合资格的竞选人中，报价最低的为第一中选人。审查内容如下：</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94"/>
        <w:gridCol w:w="1304"/>
        <w:gridCol w:w="3613"/>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2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序号</w:t>
            </w:r>
          </w:p>
        </w:tc>
        <w:tc>
          <w:tcPr>
            <w:tcW w:w="2965"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检查因素</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328"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412"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资格性检查</w:t>
            </w:r>
          </w:p>
        </w:tc>
        <w:tc>
          <w:tcPr>
            <w:tcW w:w="677"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竞选人应符合的基本资格条件</w:t>
            </w: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（1）具有独立承担民事责任的能力</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竞选人法人营业执照复印件；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lang w:val="zh-CN"/>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color w:val="auto"/>
                <w:sz w:val="21"/>
                <w:szCs w:val="21"/>
                <w:highlight w:val="none"/>
              </w:rPr>
              <w:t>具有良好的商业信誉和健全的财务会计制度</w:t>
            </w:r>
          </w:p>
        </w:tc>
        <w:tc>
          <w:tcPr>
            <w:tcW w:w="1706"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竞选人自行提供诚信声明；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lang w:val="zh-CN"/>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（3）具有履行合同所必需的设备和专业技术能力</w:t>
            </w:r>
          </w:p>
        </w:tc>
        <w:tc>
          <w:tcPr>
            <w:tcW w:w="1706"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lang w:val="zh-CN"/>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（4）有依法缴纳税收和社会保障金的良好记录</w:t>
            </w:r>
          </w:p>
        </w:tc>
        <w:tc>
          <w:tcPr>
            <w:tcW w:w="1706"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28"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677"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特定资格条件</w:t>
            </w:r>
          </w:p>
        </w:tc>
        <w:tc>
          <w:tcPr>
            <w:tcW w:w="1875" w:type="pct"/>
            <w:vAlign w:val="center"/>
          </w:tcPr>
          <w:p>
            <w:pPr>
              <w:pageBreakBefore w:val="0"/>
              <w:tabs>
                <w:tab w:val="left" w:pos="3840"/>
                <w:tab w:val="left" w:pos="5300"/>
              </w:tabs>
              <w:kinsoku/>
              <w:wordWrap/>
              <w:overflowPunct/>
              <w:topLinePunct w:val="0"/>
              <w:autoSpaceDE w:val="0"/>
              <w:autoSpaceDN w:val="0"/>
              <w:bidi w:val="0"/>
              <w:adjustRightInd w:val="0"/>
              <w:snapToGrid w:val="0"/>
              <w:spacing w:line="4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snapToGrid w:val="0"/>
                <w:color w:val="auto"/>
                <w:kern w:val="0"/>
                <w:sz w:val="21"/>
                <w:szCs w:val="21"/>
                <w:highlight w:val="none"/>
              </w:rPr>
              <w:t>竞选人须为独立法人资格，具有有效的营业执照。</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竞选人法人营业执照复印件；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p>
        </w:tc>
        <w:tc>
          <w:tcPr>
            <w:tcW w:w="1875" w:type="pct"/>
            <w:vAlign w:val="center"/>
          </w:tcPr>
          <w:p>
            <w:pPr>
              <w:pageBreakBefore w:val="0"/>
              <w:widowControl/>
              <w:kinsoku/>
              <w:wordWrap/>
              <w:overflowPunct/>
              <w:topLinePunct w:val="0"/>
              <w:bidi w:val="0"/>
              <w:spacing w:line="4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bCs/>
                <w:snapToGrid w:val="0"/>
                <w:color w:val="auto"/>
                <w:sz w:val="21"/>
                <w:szCs w:val="21"/>
                <w:highlight w:val="none"/>
              </w:rPr>
              <w:t>竞选人必须具备市政公用工程施工总承包或建筑工程施工总承包叁级及以上资质。</w:t>
            </w:r>
          </w:p>
        </w:tc>
        <w:tc>
          <w:tcPr>
            <w:tcW w:w="1706"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资格证明材料的复印件（加盖竞选人公章）。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（3）</w:t>
            </w:r>
            <w:r>
              <w:rPr>
                <w:rFonts w:hint="eastAsia" w:ascii="方正仿宋_GBK" w:hAnsi="方正仿宋_GBK" w:eastAsia="方正仿宋_GBK" w:cs="方正仿宋_GBK"/>
                <w:color w:val="auto"/>
                <w:sz w:val="21"/>
                <w:szCs w:val="21"/>
                <w:highlight w:val="none"/>
              </w:rPr>
              <w:t>具备建设行政主管部门颁发的有效的安全生产许可证，提供复印件，并加盖公章。</w:t>
            </w:r>
          </w:p>
        </w:tc>
        <w:tc>
          <w:tcPr>
            <w:tcW w:w="1706"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（4）</w:t>
            </w:r>
            <w:r>
              <w:rPr>
                <w:rFonts w:hint="eastAsia" w:ascii="方正仿宋_GBK" w:hAnsi="方正仿宋_GBK" w:eastAsia="方正仿宋_GBK" w:cs="方正仿宋_GBK"/>
                <w:bCs/>
                <w:snapToGrid w:val="0"/>
                <w:color w:val="auto"/>
                <w:sz w:val="21"/>
                <w:szCs w:val="21"/>
                <w:highlight w:val="none"/>
                <w:lang w:val="en-US" w:eastAsia="zh-CN"/>
              </w:rPr>
              <w:t>本项目</w:t>
            </w:r>
            <w:r>
              <w:rPr>
                <w:rFonts w:hint="eastAsia" w:ascii="方正仿宋_GBK" w:hAnsi="方正仿宋_GBK" w:eastAsia="方正仿宋_GBK" w:cs="方正仿宋_GBK"/>
                <w:bCs/>
                <w:snapToGrid w:val="0"/>
                <w:color w:val="auto"/>
                <w:sz w:val="21"/>
                <w:szCs w:val="21"/>
                <w:highlight w:val="none"/>
              </w:rPr>
              <w:t>不</w:t>
            </w:r>
            <w:r>
              <w:rPr>
                <w:rFonts w:hint="eastAsia" w:ascii="方正仿宋_GBK" w:hAnsi="方正仿宋_GBK" w:eastAsia="方正仿宋_GBK" w:cs="方正仿宋_GBK"/>
                <w:snapToGrid w:val="0"/>
                <w:color w:val="auto"/>
                <w:kern w:val="0"/>
                <w:sz w:val="21"/>
                <w:szCs w:val="21"/>
                <w:highlight w:val="none"/>
              </w:rPr>
              <w:t>接受联合体竞选。</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snapToGrid w:val="0"/>
                <w:color w:val="auto"/>
                <w:kern w:val="0"/>
                <w:sz w:val="21"/>
                <w:szCs w:val="21"/>
                <w:highlight w:val="none"/>
                <w:lang w:val="en-US" w:eastAsia="zh-CN"/>
              </w:rPr>
              <w:t>竞选人提供非联合体竞选声明文件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28"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412"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符合性检查</w:t>
            </w:r>
          </w:p>
        </w:tc>
        <w:tc>
          <w:tcPr>
            <w:tcW w:w="677"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有效性审查</w:t>
            </w: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竞选文件签字盖章</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竞选文件格式要求的签字盖章齐全。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pacing w:val="-8"/>
                <w:sz w:val="21"/>
                <w:szCs w:val="21"/>
                <w:highlight w:val="none"/>
              </w:rPr>
            </w:pPr>
            <w:r>
              <w:rPr>
                <w:rFonts w:hint="eastAsia" w:ascii="方正仿宋_GBK" w:hAnsi="方正仿宋_GBK" w:eastAsia="方正仿宋_GBK" w:cs="方正仿宋_GBK"/>
                <w:color w:val="auto"/>
                <w:sz w:val="21"/>
                <w:szCs w:val="21"/>
                <w:highlight w:val="none"/>
              </w:rPr>
              <w:t>法定代表人身份证明及授权委托书</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法定代表人身份证明及授权委托书有效，符合</w:t>
            </w:r>
            <w:r>
              <w:rPr>
                <w:rFonts w:hint="eastAsia" w:ascii="方正仿宋_GBK" w:hAnsi="方正仿宋_GBK" w:eastAsia="方正仿宋_GBK" w:cs="方正仿宋_GBK"/>
                <w:color w:val="auto"/>
                <w:sz w:val="21"/>
                <w:szCs w:val="21"/>
                <w:highlight w:val="none"/>
                <w:lang w:eastAsia="zh-CN"/>
              </w:rPr>
              <w:t>采购</w:t>
            </w:r>
            <w:r>
              <w:rPr>
                <w:rFonts w:hint="eastAsia" w:ascii="方正仿宋_GBK" w:hAnsi="方正仿宋_GBK" w:eastAsia="方正仿宋_GBK" w:cs="方正仿宋_GBK"/>
                <w:color w:val="auto"/>
                <w:sz w:val="21"/>
                <w:szCs w:val="21"/>
                <w:highlight w:val="none"/>
              </w:rPr>
              <w:t>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报价唯一</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只能在限价范围内报价，</w:t>
            </w:r>
            <w:r>
              <w:rPr>
                <w:rFonts w:hint="eastAsia" w:ascii="方正仿宋_GBK" w:hAnsi="方正仿宋_GBK" w:eastAsia="方正仿宋_GBK" w:cs="方正仿宋_GBK"/>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28"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677"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完整性审查</w:t>
            </w: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竞选文件份数</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竞选文件正本、副本数量符合采购文件要求。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竞选文件内容</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竞选文件内容齐全、无遗漏。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8"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5</w:t>
            </w: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677"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kern w:val="0"/>
                <w:sz w:val="21"/>
                <w:szCs w:val="21"/>
                <w:highlight w:val="none"/>
              </w:rPr>
              <w:t>竞选文件的响应程度审查</w:t>
            </w: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rPr>
              <w:t>竞选文件内容</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rPr>
              <w:t>对</w:t>
            </w:r>
            <w:r>
              <w:rPr>
                <w:rFonts w:hint="eastAsia" w:ascii="方正仿宋_GBK" w:hAnsi="方正仿宋_GBK" w:eastAsia="方正仿宋_GBK" w:cs="方正仿宋_GBK"/>
                <w:color w:val="auto"/>
                <w:kern w:val="0"/>
                <w:sz w:val="21"/>
                <w:szCs w:val="21"/>
                <w:highlight w:val="none"/>
                <w:lang w:eastAsia="zh-CN"/>
              </w:rPr>
              <w:t>采购</w:t>
            </w:r>
            <w:r>
              <w:rPr>
                <w:rFonts w:hint="eastAsia" w:ascii="方正仿宋_GBK" w:hAnsi="方正仿宋_GBK" w:eastAsia="方正仿宋_GBK" w:cs="方正仿宋_GBK"/>
                <w:color w:val="auto"/>
                <w:kern w:val="0"/>
                <w:sz w:val="21"/>
                <w:szCs w:val="21"/>
                <w:highlight w:val="none"/>
              </w:rPr>
              <w:t>文件的全部内容作出符合响应。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412"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677"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lang w:val="zh-CN"/>
              </w:rPr>
            </w:pPr>
          </w:p>
        </w:tc>
        <w:tc>
          <w:tcPr>
            <w:tcW w:w="18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rPr>
              <w:t>竞选有效期</w:t>
            </w:r>
          </w:p>
        </w:tc>
        <w:tc>
          <w:tcPr>
            <w:tcW w:w="1706"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rPr>
              <w:t>满足</w:t>
            </w:r>
            <w:r>
              <w:rPr>
                <w:rFonts w:hint="eastAsia" w:ascii="方正仿宋_GBK" w:hAnsi="方正仿宋_GBK" w:eastAsia="方正仿宋_GBK" w:cs="方正仿宋_GBK"/>
                <w:color w:val="auto"/>
                <w:kern w:val="0"/>
                <w:sz w:val="21"/>
                <w:szCs w:val="21"/>
                <w:highlight w:val="none"/>
                <w:lang w:eastAsia="zh-CN"/>
              </w:rPr>
              <w:t>采购</w:t>
            </w:r>
            <w:r>
              <w:rPr>
                <w:rFonts w:hint="eastAsia" w:ascii="方正仿宋_GBK" w:hAnsi="方正仿宋_GBK" w:eastAsia="方正仿宋_GBK" w:cs="方正仿宋_GBK"/>
                <w:color w:val="auto"/>
                <w:kern w:val="0"/>
                <w:sz w:val="21"/>
                <w:szCs w:val="21"/>
                <w:highlight w:val="none"/>
              </w:rPr>
              <w:t>文件</w:t>
            </w:r>
            <w:r>
              <w:rPr>
                <w:rFonts w:hint="eastAsia" w:ascii="方正仿宋_GBK" w:hAnsi="方正仿宋_GBK" w:eastAsia="方正仿宋_GBK" w:cs="方正仿宋_GBK"/>
                <w:color w:val="auto"/>
                <w:sz w:val="21"/>
                <w:szCs w:val="21"/>
                <w:highlight w:val="none"/>
                <w:lang w:val="zh-CN"/>
              </w:rPr>
              <w:t>规定。</w:t>
            </w:r>
          </w:p>
        </w:tc>
      </w:tr>
    </w:tbl>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2.评审结果</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采购人对所有符合资格的竞选人提供的报价由高低进行排序，报价最低的竞选人为第一中选人，以此类推。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黑体_GBK" w:hAnsi="方正黑体_GBK" w:eastAsia="方正黑体_GBK" w:cs="方正黑体_GBK"/>
          <w:b w:val="0"/>
          <w:bCs w:val="0"/>
          <w:snapToGrid w:val="0"/>
          <w:color w:val="auto"/>
          <w:kern w:val="2"/>
          <w:sz w:val="21"/>
          <w:szCs w:val="21"/>
          <w:highlight w:val="none"/>
          <w:lang w:val="en-US" w:eastAsia="zh-CN" w:bidi="ar-SA"/>
        </w:rPr>
      </w:pPr>
      <w:r>
        <w:rPr>
          <w:rFonts w:hint="eastAsia" w:ascii="方正黑体_GBK" w:hAnsi="方正黑体_GBK" w:eastAsia="方正黑体_GBK" w:cs="方正黑体_GBK"/>
          <w:b w:val="0"/>
          <w:bCs w:val="0"/>
          <w:snapToGrid w:val="0"/>
          <w:color w:val="auto"/>
          <w:kern w:val="2"/>
          <w:sz w:val="21"/>
          <w:szCs w:val="21"/>
          <w:highlight w:val="none"/>
          <w:lang w:val="en-US" w:eastAsia="zh-CN" w:bidi="ar-SA"/>
        </w:rPr>
        <w:t>九、合同签订</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1.中选人在成交通知书下发后15日内与</w:t>
      </w:r>
      <w:r>
        <w:rPr>
          <w:rFonts w:hint="eastAsia" w:ascii="方正仿宋_GBK" w:hAnsi="方正仿宋_GBK" w:eastAsia="方正仿宋_GBK" w:cs="方正仿宋_GBK"/>
          <w:color w:val="auto"/>
          <w:sz w:val="21"/>
          <w:szCs w:val="21"/>
          <w:highlight w:val="none"/>
        </w:rPr>
        <w:t>重庆市</w:t>
      </w:r>
      <w:r>
        <w:rPr>
          <w:rFonts w:hint="eastAsia" w:ascii="方正仿宋_GBK" w:hAnsi="方正仿宋_GBK" w:eastAsia="方正仿宋_GBK" w:cs="方正仿宋_GBK"/>
          <w:color w:val="auto"/>
          <w:sz w:val="21"/>
          <w:szCs w:val="21"/>
          <w:highlight w:val="none"/>
          <w:lang w:eastAsia="zh-CN"/>
        </w:rPr>
        <w:t>綦江</w:t>
      </w:r>
      <w:r>
        <w:rPr>
          <w:rFonts w:hint="eastAsia" w:ascii="方正仿宋_GBK" w:hAnsi="方正仿宋_GBK" w:eastAsia="方正仿宋_GBK" w:cs="方正仿宋_GBK"/>
          <w:color w:val="auto"/>
          <w:sz w:val="21"/>
          <w:szCs w:val="21"/>
          <w:highlight w:val="none"/>
        </w:rPr>
        <w:t>区益</w:t>
      </w:r>
      <w:r>
        <w:rPr>
          <w:rFonts w:hint="eastAsia" w:ascii="方正仿宋_GBK" w:hAnsi="方正仿宋_GBK" w:eastAsia="方正仿宋_GBK" w:cs="方正仿宋_GBK"/>
          <w:color w:val="auto"/>
          <w:sz w:val="21"/>
          <w:szCs w:val="21"/>
          <w:highlight w:val="none"/>
          <w:lang w:eastAsia="zh-CN"/>
        </w:rPr>
        <w:t>创</w:t>
      </w:r>
      <w:r>
        <w:rPr>
          <w:rFonts w:hint="eastAsia" w:ascii="方正仿宋_GBK" w:hAnsi="方正仿宋_GBK" w:eastAsia="方正仿宋_GBK" w:cs="方正仿宋_GBK"/>
          <w:color w:val="auto"/>
          <w:sz w:val="21"/>
          <w:szCs w:val="21"/>
          <w:highlight w:val="none"/>
        </w:rPr>
        <w:t>环境服务有限公司</w:t>
      </w:r>
      <w:r>
        <w:rPr>
          <w:rFonts w:hint="eastAsia" w:ascii="方正仿宋_GBK" w:hAnsi="方正仿宋_GBK" w:eastAsia="方正仿宋_GBK" w:cs="方正仿宋_GBK"/>
          <w:color w:val="auto"/>
          <w:kern w:val="2"/>
          <w:sz w:val="21"/>
          <w:szCs w:val="21"/>
          <w:highlight w:val="none"/>
          <w:lang w:val="en-US" w:eastAsia="zh-CN" w:bidi="ar-SA"/>
        </w:rPr>
        <w:t>签订书面合同。所签订的合同不得对采购公告和中选人响应文件作实质性修改。</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2.中选人所报价格即为合同价。</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3.采购公告、中选人的响应文件，均为签订采购合同的依据</w:t>
      </w:r>
      <w:r>
        <w:rPr>
          <w:rFonts w:hint="eastAsia" w:ascii="方正仿宋_GBK" w:hAnsi="方正仿宋_GBK" w:eastAsia="方正仿宋_GBK" w:cs="方正仿宋_GBK"/>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黑体_GBK" w:hAnsi="方正黑体_GBK" w:eastAsia="方正黑体_GBK" w:cs="方正黑体_GBK"/>
          <w:b w:val="0"/>
          <w:bCs w:val="0"/>
          <w:snapToGrid w:val="0"/>
          <w:color w:val="auto"/>
          <w:kern w:val="2"/>
          <w:sz w:val="21"/>
          <w:szCs w:val="21"/>
          <w:highlight w:val="none"/>
          <w:lang w:val="en-US" w:eastAsia="zh-CN" w:bidi="ar-SA"/>
        </w:rPr>
      </w:pPr>
      <w:r>
        <w:rPr>
          <w:rFonts w:hint="eastAsia" w:ascii="方正黑体_GBK" w:hAnsi="方正黑体_GBK" w:eastAsia="方正黑体_GBK" w:cs="方正黑体_GBK"/>
          <w:b w:val="0"/>
          <w:bCs w:val="0"/>
          <w:snapToGrid w:val="0"/>
          <w:color w:val="auto"/>
          <w:kern w:val="2"/>
          <w:sz w:val="21"/>
          <w:szCs w:val="21"/>
          <w:highlight w:val="none"/>
          <w:lang w:val="en-US" w:eastAsia="zh-CN" w:bidi="ar-SA"/>
        </w:rPr>
        <w:t>十、无效竞选</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竞选人或其竞选文件出现以下情况之一者，为无效竞选文件：</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1.竞选人不具备本公告所载明的资质；</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2.竞选人提供虚假证明文件的；</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3.竞选人或其代理人的行为违反相关法律法规，或附有采购人不能接受的条件的；</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竞选人以联合体形式参与竞选的；</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符合采购人报价要求的竞选人不足</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家的。</w:t>
      </w:r>
    </w:p>
    <w:p>
      <w:pPr>
        <w:pStyle w:val="3"/>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val="en-US" w:eastAsia="zh-CN"/>
        </w:rPr>
        <w:t>6.</w:t>
      </w:r>
      <w:r>
        <w:rPr>
          <w:rFonts w:hint="eastAsia" w:ascii="方正仿宋_GBK" w:hAnsi="方正仿宋_GBK" w:eastAsia="方正仿宋_GBK" w:cs="方正仿宋_GBK"/>
          <w:b w:val="0"/>
          <w:bCs w:val="0"/>
          <w:color w:val="auto"/>
          <w:sz w:val="21"/>
          <w:szCs w:val="21"/>
          <w:highlight w:val="none"/>
        </w:rPr>
        <w:t>竞选人的报价不得超过最高限价，超过最高限价的否决其报价。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黑体_GBK" w:hAnsi="方正黑体_GBK" w:eastAsia="方正黑体_GBK" w:cs="方正黑体_GBK"/>
          <w:b w:val="0"/>
          <w:bCs w:val="0"/>
          <w:snapToGrid w:val="0"/>
          <w:color w:val="auto"/>
          <w:kern w:val="2"/>
          <w:sz w:val="21"/>
          <w:szCs w:val="21"/>
          <w:highlight w:val="none"/>
          <w:lang w:val="en-US" w:eastAsia="zh-CN" w:bidi="ar-SA"/>
        </w:rPr>
      </w:pPr>
      <w:r>
        <w:rPr>
          <w:rFonts w:hint="eastAsia" w:ascii="方正黑体_GBK" w:hAnsi="方正黑体_GBK" w:eastAsia="方正黑体_GBK" w:cs="方正黑体_GBK"/>
          <w:b w:val="0"/>
          <w:bCs w:val="0"/>
          <w:snapToGrid w:val="0"/>
          <w:color w:val="auto"/>
          <w:kern w:val="2"/>
          <w:sz w:val="21"/>
          <w:szCs w:val="21"/>
          <w:highlight w:val="none"/>
          <w:lang w:val="en-US" w:eastAsia="zh-CN" w:bidi="ar-SA"/>
        </w:rPr>
        <w:t>十一、竞选结果发布媒介</w:t>
      </w:r>
    </w:p>
    <w:p>
      <w:pPr>
        <w:pStyle w:val="2"/>
        <w:keepNext w:val="0"/>
        <w:keepLines w:val="0"/>
        <w:pageBreakBefore w:val="0"/>
        <w:widowControl w:val="0"/>
        <w:kinsoku/>
        <w:wordWrap/>
        <w:overflowPunct/>
        <w:topLinePunct w:val="0"/>
        <w:autoSpaceDE/>
        <w:autoSpaceDN/>
        <w:bidi w:val="0"/>
        <w:spacing w:line="400" w:lineRule="exact"/>
        <w:ind w:firstLine="420" w:firstLineChars="200"/>
        <w:jc w:val="both"/>
        <w:textAlignment w:val="auto"/>
        <w:rPr>
          <w:rFonts w:hint="eastAsia" w:ascii="方正仿宋_GBK" w:hAnsi="方正仿宋_GBK" w:eastAsia="方正仿宋_GBK" w:cs="方正仿宋_GBK"/>
          <w:b w:val="0"/>
          <w:bCs w:val="0"/>
          <w:color w:val="auto"/>
          <w:kern w:val="2"/>
          <w:sz w:val="21"/>
          <w:szCs w:val="21"/>
          <w:highlight w:val="none"/>
          <w:lang w:val="en-US" w:eastAsia="zh-CN" w:bidi="ar-SA"/>
        </w:rPr>
      </w:pPr>
      <w:r>
        <w:rPr>
          <w:rFonts w:hint="eastAsia" w:ascii="方正仿宋_GBK" w:hAnsi="方正仿宋_GBK" w:eastAsia="方正仿宋_GBK" w:cs="方正仿宋_GBK"/>
          <w:b w:val="0"/>
          <w:bCs w:val="0"/>
          <w:color w:val="auto"/>
          <w:kern w:val="2"/>
          <w:sz w:val="21"/>
          <w:szCs w:val="21"/>
          <w:highlight w:val="none"/>
          <w:lang w:val="en-US" w:eastAsia="zh-CN" w:bidi="ar-SA"/>
        </w:rPr>
        <w:t>本次竞选结果在“《重庆市环卫集团有限公司》(http://www.cesg.com.cn)”网上发布。</w:t>
      </w:r>
    </w:p>
    <w:p>
      <w:pPr>
        <w:tabs>
          <w:tab w:val="left" w:pos="3045"/>
          <w:tab w:val="left" w:pos="8310"/>
        </w:tabs>
        <w:autoSpaceDE w:val="0"/>
        <w:autoSpaceDN w:val="0"/>
        <w:adjustRightInd w:val="0"/>
        <w:snapToGrid w:val="0"/>
        <w:spacing w:line="360" w:lineRule="auto"/>
        <w:ind w:firstLine="482" w:firstLineChars="200"/>
        <w:rPr>
          <w:rFonts w:hint="eastAsia" w:cs="宋体" w:asciiTheme="minorEastAsia" w:hAnsiTheme="minorEastAsia" w:eastAsiaTheme="minorEastAsia"/>
          <w:b/>
          <w:snapToGrid w:val="0"/>
          <w:color w:val="auto"/>
          <w:sz w:val="24"/>
          <w:szCs w:val="24"/>
          <w:highlight w:val="none"/>
        </w:rPr>
      </w:pPr>
    </w:p>
    <w:p>
      <w:pPr>
        <w:widowControl/>
        <w:jc w:val="left"/>
        <w:rPr>
          <w:rFonts w:cs="宋体" w:asciiTheme="minorEastAsia" w:hAnsiTheme="minorEastAsia" w:eastAsiaTheme="minorEastAsia"/>
          <w:b/>
          <w:bCs/>
          <w:color w:val="auto"/>
          <w:sz w:val="36"/>
          <w:szCs w:val="36"/>
          <w:highlight w:val="none"/>
        </w:rPr>
      </w:pPr>
      <w:bookmarkStart w:id="33" w:name="_Toc450552006"/>
      <w:bookmarkStart w:id="34" w:name="_Toc110005773"/>
      <w:r>
        <w:rPr>
          <w:rFonts w:cs="宋体" w:asciiTheme="minorEastAsia" w:hAnsiTheme="minorEastAsia" w:eastAsiaTheme="minorEastAsia"/>
          <w:b/>
          <w:bCs/>
          <w:color w:val="auto"/>
          <w:sz w:val="36"/>
          <w:szCs w:val="36"/>
          <w:highlight w:val="none"/>
        </w:rPr>
        <w:br w:type="page"/>
      </w:r>
    </w:p>
    <w:bookmarkEnd w:id="33"/>
    <w:p>
      <w:pPr>
        <w:pStyle w:val="4"/>
        <w:numPr>
          <w:ilvl w:val="255"/>
          <w:numId w:val="0"/>
        </w:numPr>
        <w:spacing w:before="0" w:beforeLines="0" w:after="0" w:afterLines="0" w:line="360" w:lineRule="auto"/>
        <w:jc w:val="left"/>
        <w:rPr>
          <w:rFonts w:hint="eastAsia" w:ascii="方正仿宋_GBK" w:hAnsi="方正仿宋_GBK" w:eastAsia="方正仿宋_GBK" w:cs="方正仿宋_GBK"/>
          <w:b/>
          <w:bCs/>
          <w:color w:val="auto"/>
          <w:sz w:val="28"/>
          <w:szCs w:val="28"/>
          <w:highlight w:val="none"/>
        </w:rPr>
      </w:pPr>
      <w:bookmarkStart w:id="35" w:name="_Toc24283"/>
      <w:bookmarkStart w:id="36" w:name="_Toc176"/>
      <w:bookmarkStart w:id="37" w:name="_Toc16635"/>
      <w:bookmarkStart w:id="38" w:name="_Toc15465"/>
      <w:bookmarkStart w:id="39" w:name="_Toc28297"/>
      <w:bookmarkStart w:id="40" w:name="_Toc25784"/>
      <w:bookmarkStart w:id="41" w:name="_Toc24678"/>
      <w:bookmarkStart w:id="42" w:name="_Toc28725"/>
      <w:bookmarkStart w:id="43" w:name="_Toc22911"/>
      <w:bookmarkStart w:id="44" w:name="_Toc2634"/>
      <w:bookmarkStart w:id="45" w:name="_Toc287607855"/>
      <w:bookmarkStart w:id="46" w:name="_Toc3437"/>
      <w:r>
        <w:rPr>
          <w:rFonts w:hint="eastAsia" w:ascii="方正仿宋_GBK" w:hAnsi="方正仿宋_GBK" w:eastAsia="方正仿宋_GBK" w:cs="方正仿宋_GBK"/>
          <w:b/>
          <w:bCs/>
          <w:color w:val="auto"/>
          <w:sz w:val="28"/>
          <w:szCs w:val="28"/>
          <w:highlight w:val="none"/>
          <w:lang w:eastAsia="zh-CN"/>
        </w:rPr>
        <w:t>附件</w:t>
      </w:r>
      <w:r>
        <w:rPr>
          <w:rFonts w:hint="eastAsia" w:ascii="方正仿宋_GBK" w:hAnsi="方正仿宋_GBK" w:eastAsia="方正仿宋_GBK" w:cs="方正仿宋_GBK"/>
          <w:b/>
          <w:bCs/>
          <w:color w:val="auto"/>
          <w:sz w:val="28"/>
          <w:szCs w:val="28"/>
          <w:highlight w:val="none"/>
        </w:rPr>
        <w:t xml:space="preserve"> 合同条款及格式</w:t>
      </w:r>
      <w:bookmarkEnd w:id="34"/>
      <w:bookmarkEnd w:id="35"/>
      <w:bookmarkEnd w:id="36"/>
      <w:bookmarkEnd w:id="37"/>
      <w:bookmarkEnd w:id="38"/>
      <w:bookmarkEnd w:id="39"/>
      <w:bookmarkEnd w:id="40"/>
      <w:bookmarkEnd w:id="41"/>
      <w:bookmarkEnd w:id="42"/>
      <w:bookmarkEnd w:id="43"/>
      <w:bookmarkEnd w:id="44"/>
    </w:p>
    <w:p>
      <w:pPr>
        <w:spacing w:line="360" w:lineRule="auto"/>
        <w:jc w:val="center"/>
        <w:rPr>
          <w:rFonts w:hint="eastAsia"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kern w:val="0"/>
          <w:sz w:val="36"/>
          <w:szCs w:val="24"/>
          <w:highlight w:val="none"/>
        </w:rPr>
        <w:t xml:space="preserve"> </w:t>
      </w:r>
      <w:r>
        <w:rPr>
          <w:rFonts w:hint="eastAsia" w:ascii="方正小标宋_GBK" w:hAnsi="方正小标宋_GBK" w:eastAsia="方正小标宋_GBK" w:cs="方正小标宋_GBK"/>
          <w:bCs/>
          <w:color w:val="auto"/>
          <w:sz w:val="36"/>
          <w:szCs w:val="36"/>
          <w:highlight w:val="none"/>
        </w:rPr>
        <w:t>临时转运场地建设合同</w:t>
      </w:r>
    </w:p>
    <w:p>
      <w:pPr>
        <w:spacing w:line="360" w:lineRule="auto"/>
        <w:jc w:val="center"/>
        <w:rPr>
          <w:rFonts w:hint="eastAsia" w:ascii="方正仿宋_GBK" w:hAnsi="方正仿宋_GBK" w:eastAsia="方正仿宋_GBK" w:cs="方正仿宋_GBK"/>
          <w:bCs/>
          <w:color w:val="auto"/>
          <w:sz w:val="24"/>
          <w:szCs w:val="24"/>
          <w:highlight w:val="none"/>
        </w:rPr>
      </w:pPr>
    </w:p>
    <w:p>
      <w:pPr>
        <w:spacing w:line="360" w:lineRule="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甲方：</w:t>
      </w:r>
      <w:r>
        <w:rPr>
          <w:rFonts w:hint="eastAsia" w:ascii="方正仿宋_GBK" w:hAnsi="方正仿宋_GBK" w:eastAsia="方正仿宋_GBK" w:cs="方正仿宋_GBK"/>
          <w:color w:val="auto"/>
          <w:sz w:val="24"/>
          <w:szCs w:val="24"/>
          <w:highlight w:val="none"/>
          <w:u w:val="single"/>
        </w:rPr>
        <w:t xml:space="preserve">                                                   </w:t>
      </w:r>
    </w:p>
    <w:p>
      <w:pPr>
        <w:spacing w:line="360" w:lineRule="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u w:val="single"/>
        </w:rPr>
        <w:t xml:space="preserve">                                                   </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p>
    <w:p>
      <w:pPr>
        <w:spacing w:line="360" w:lineRule="auto"/>
        <w:ind w:firstLine="480" w:firstLineChars="200"/>
        <w:contextualSpacing/>
        <w:rPr>
          <w:rFonts w:hint="eastAsia" w:ascii="方正仿宋_GBK" w:hAnsi="宋体"/>
          <w:bCs/>
          <w:color w:val="auto"/>
          <w:sz w:val="24"/>
          <w:szCs w:val="24"/>
          <w:highlight w:val="none"/>
        </w:rPr>
      </w:pPr>
      <w:r>
        <w:rPr>
          <w:rFonts w:hint="eastAsia" w:ascii="方正仿宋_GBK" w:hAnsi="方正仿宋_GBK" w:eastAsia="方正仿宋_GBK" w:cs="方正仿宋_GBK"/>
          <w:color w:val="auto"/>
          <w:sz w:val="24"/>
          <w:szCs w:val="24"/>
          <w:highlight w:val="none"/>
        </w:rPr>
        <w:t>经甲乙双方友好协商，根据《中华人民共和国民法典》</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文件、</w:t>
      </w:r>
      <w:r>
        <w:rPr>
          <w:rFonts w:hint="eastAsia" w:ascii="方正仿宋_GBK" w:hAnsi="方正仿宋_GBK" w:eastAsia="方正仿宋_GBK" w:cs="方正仿宋_GBK"/>
          <w:color w:val="auto"/>
          <w:sz w:val="24"/>
          <w:szCs w:val="24"/>
          <w:highlight w:val="none"/>
          <w:lang w:eastAsia="zh-CN"/>
        </w:rPr>
        <w:t>响应</w:t>
      </w:r>
      <w:r>
        <w:rPr>
          <w:rFonts w:hint="eastAsia" w:ascii="方正仿宋_GBK" w:hAnsi="方正仿宋_GBK" w:eastAsia="方正仿宋_GBK" w:cs="方正仿宋_GBK"/>
          <w:color w:val="auto"/>
          <w:sz w:val="24"/>
          <w:szCs w:val="24"/>
          <w:highlight w:val="none"/>
        </w:rPr>
        <w:t>文件及其它相关文件的约定，甲、乙双方签订本合同并共同遵守：</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一、合作事项：</w:t>
      </w:r>
      <w:r>
        <w:rPr>
          <w:rFonts w:hint="eastAsia" w:ascii="方正仿宋_GBK" w:hAnsi="方正仿宋_GBK" w:eastAsia="方正仿宋_GBK" w:cs="方正仿宋_GBK"/>
          <w:color w:val="auto"/>
          <w:sz w:val="24"/>
          <w:szCs w:val="24"/>
          <w:highlight w:val="none"/>
          <w:u w:val="single"/>
        </w:rPr>
        <w:t xml:space="preserve"> 綦江生活垃圾临时转运场地建设          </w:t>
      </w:r>
      <w:r>
        <w:rPr>
          <w:rFonts w:hint="eastAsia" w:ascii="方正仿宋_GBK" w:hAnsi="方正仿宋_GBK" w:eastAsia="方正仿宋_GBK" w:cs="方正仿宋_GBK"/>
          <w:color w:val="auto"/>
          <w:sz w:val="24"/>
          <w:szCs w:val="24"/>
          <w:highlight w:val="none"/>
        </w:rPr>
        <w:t xml:space="preserve"> </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二</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color w:val="auto"/>
          <w:sz w:val="24"/>
          <w:szCs w:val="24"/>
          <w:highlight w:val="none"/>
        </w:rPr>
        <w:t>工程</w:t>
      </w:r>
      <w:r>
        <w:rPr>
          <w:rFonts w:hint="eastAsia" w:ascii="方正仿宋_GBK" w:hAnsi="方正仿宋_GBK" w:eastAsia="方正仿宋_GBK" w:cs="方正仿宋_GBK"/>
          <w:color w:val="auto"/>
          <w:sz w:val="24"/>
          <w:szCs w:val="24"/>
          <w:highlight w:val="none"/>
          <w:lang w:eastAsia="zh-CN"/>
        </w:rPr>
        <w:t>量</w:t>
      </w:r>
      <w:r>
        <w:rPr>
          <w:rFonts w:hint="eastAsia" w:ascii="方正仿宋_GBK" w:hAnsi="方正仿宋_GBK" w:eastAsia="方正仿宋_GBK" w:cs="方正仿宋_GBK"/>
          <w:color w:val="auto"/>
          <w:sz w:val="24"/>
          <w:szCs w:val="24"/>
          <w:highlight w:val="none"/>
        </w:rPr>
        <w:t>与</w:t>
      </w:r>
      <w:r>
        <w:rPr>
          <w:rFonts w:hint="eastAsia" w:ascii="方正仿宋_GBK" w:hAnsi="方正仿宋_GBK" w:eastAsia="方正仿宋_GBK" w:cs="方正仿宋_GBK"/>
          <w:color w:val="auto"/>
          <w:sz w:val="24"/>
          <w:szCs w:val="24"/>
          <w:highlight w:val="none"/>
          <w:lang w:eastAsia="zh-CN"/>
        </w:rPr>
        <w:t>施工内容</w:t>
      </w:r>
    </w:p>
    <w:tbl>
      <w:tblPr>
        <w:tblStyle w:val="47"/>
        <w:tblW w:w="9076" w:type="dxa"/>
        <w:jc w:val="center"/>
        <w:tblLayout w:type="fixed"/>
        <w:tblCellMar>
          <w:top w:w="0" w:type="dxa"/>
          <w:left w:w="108" w:type="dxa"/>
          <w:bottom w:w="0" w:type="dxa"/>
          <w:right w:w="108" w:type="dxa"/>
        </w:tblCellMar>
      </w:tblPr>
      <w:tblGrid>
        <w:gridCol w:w="662"/>
        <w:gridCol w:w="1518"/>
        <w:gridCol w:w="1616"/>
        <w:gridCol w:w="1230"/>
        <w:gridCol w:w="1117"/>
        <w:gridCol w:w="800"/>
        <w:gridCol w:w="883"/>
        <w:gridCol w:w="1250"/>
      </w:tblGrid>
      <w:tr>
        <w:tblPrEx>
          <w:tblCellMar>
            <w:top w:w="0" w:type="dxa"/>
            <w:left w:w="108" w:type="dxa"/>
            <w:bottom w:w="0" w:type="dxa"/>
            <w:right w:w="108" w:type="dxa"/>
          </w:tblCellMar>
        </w:tblPrEx>
        <w:trPr>
          <w:trHeight w:val="451"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0"/>
                <w:sz w:val="24"/>
                <w:szCs w:val="24"/>
                <w:highlight w:val="none"/>
                <w:lang w:bidi="ar"/>
              </w:rPr>
              <w:t>序号</w:t>
            </w:r>
          </w:p>
        </w:tc>
        <w:tc>
          <w:tcPr>
            <w:tcW w:w="1518" w:type="dxa"/>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0"/>
                <w:sz w:val="24"/>
                <w:szCs w:val="24"/>
                <w:highlight w:val="none"/>
                <w:lang w:bidi="ar"/>
              </w:rPr>
              <w:t>工程名称</w:t>
            </w:r>
          </w:p>
        </w:tc>
        <w:tc>
          <w:tcPr>
            <w:tcW w:w="1616" w:type="dxa"/>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0"/>
                <w:sz w:val="24"/>
                <w:szCs w:val="24"/>
                <w:highlight w:val="none"/>
                <w:lang w:bidi="ar"/>
              </w:rPr>
              <w:t>施工作业内容</w:t>
            </w:r>
          </w:p>
        </w:tc>
        <w:tc>
          <w:tcPr>
            <w:tcW w:w="1230" w:type="dxa"/>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0"/>
                <w:sz w:val="24"/>
                <w:szCs w:val="24"/>
                <w:highlight w:val="none"/>
                <w:lang w:bidi="ar"/>
              </w:rPr>
              <w:t>计量单位</w:t>
            </w:r>
          </w:p>
        </w:tc>
        <w:tc>
          <w:tcPr>
            <w:tcW w:w="1117" w:type="dxa"/>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0"/>
                <w:sz w:val="24"/>
                <w:szCs w:val="24"/>
                <w:highlight w:val="none"/>
                <w:lang w:bidi="ar"/>
              </w:rPr>
              <w:t>工程量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0"/>
                <w:sz w:val="24"/>
                <w:szCs w:val="24"/>
                <w:highlight w:val="none"/>
                <w:lang w:bidi="ar"/>
              </w:rPr>
              <w:t>单价</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0"/>
                <w:sz w:val="24"/>
                <w:szCs w:val="24"/>
                <w:highlight w:val="none"/>
                <w:lang w:bidi="ar"/>
              </w:rPr>
              <w:t>总价</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0"/>
                <w:sz w:val="24"/>
                <w:szCs w:val="24"/>
                <w:highlight w:val="none"/>
                <w:lang w:bidi="ar"/>
              </w:rPr>
              <w:t>备注</w:t>
            </w:r>
          </w:p>
        </w:tc>
      </w:tr>
      <w:tr>
        <w:tblPrEx>
          <w:tblCellMar>
            <w:top w:w="0" w:type="dxa"/>
            <w:left w:w="108" w:type="dxa"/>
            <w:bottom w:w="0" w:type="dxa"/>
            <w:right w:w="108" w:type="dxa"/>
          </w:tblCellMar>
        </w:tblPrEx>
        <w:trPr>
          <w:trHeight w:val="936"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0"/>
                <w:sz w:val="24"/>
                <w:szCs w:val="24"/>
                <w:highlight w:val="none"/>
                <w:lang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方正仿宋_GBK" w:hAnsi="方正仿宋_GBK" w:eastAsia="方正仿宋_GBK" w:cs="方正仿宋_GBK"/>
                <w:color w:val="auto"/>
                <w:sz w:val="24"/>
                <w:szCs w:val="24"/>
                <w:highlight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r>
      <w:tr>
        <w:tblPrEx>
          <w:tblCellMar>
            <w:top w:w="0" w:type="dxa"/>
            <w:left w:w="108" w:type="dxa"/>
            <w:bottom w:w="0" w:type="dxa"/>
            <w:right w:w="108" w:type="dxa"/>
          </w:tblCellMar>
        </w:tblPrEx>
        <w:trPr>
          <w:trHeight w:val="10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0"/>
                <w:sz w:val="24"/>
                <w:szCs w:val="24"/>
                <w:highlight w:val="none"/>
                <w:lang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方正仿宋_GBK" w:hAnsi="方正仿宋_GBK" w:eastAsia="方正仿宋_GBK" w:cs="方正仿宋_GBK"/>
                <w:color w:val="auto"/>
                <w:sz w:val="24"/>
                <w:szCs w:val="24"/>
                <w:highlight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p>
        </w:tc>
      </w:tr>
      <w:tr>
        <w:tblPrEx>
          <w:tblCellMar>
            <w:top w:w="0" w:type="dxa"/>
            <w:left w:w="108" w:type="dxa"/>
            <w:bottom w:w="0" w:type="dxa"/>
            <w:right w:w="108" w:type="dxa"/>
          </w:tblCellMar>
        </w:tblPrEx>
        <w:trPr>
          <w:trHeight w:val="1134"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0"/>
                <w:sz w:val="24"/>
                <w:szCs w:val="24"/>
                <w:highlight w:val="none"/>
                <w:lang w:bidi="ar"/>
              </w:rPr>
              <w:t>...</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r>
      <w:tr>
        <w:tblPrEx>
          <w:tblCellMar>
            <w:top w:w="0" w:type="dxa"/>
            <w:left w:w="108" w:type="dxa"/>
            <w:bottom w:w="0" w:type="dxa"/>
            <w:right w:w="108" w:type="dxa"/>
          </w:tblCellMar>
        </w:tblPrEx>
        <w:trPr>
          <w:trHeight w:val="507"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w:t>
            </w:r>
          </w:p>
        </w:tc>
        <w:tc>
          <w:tcPr>
            <w:tcW w:w="6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直接费合计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r>
      <w:tr>
        <w:tblPrEx>
          <w:tblCellMar>
            <w:top w:w="0" w:type="dxa"/>
            <w:left w:w="108" w:type="dxa"/>
            <w:bottom w:w="0" w:type="dxa"/>
            <w:right w:w="108" w:type="dxa"/>
          </w:tblCellMar>
        </w:tblPrEx>
        <w:trPr>
          <w:trHeight w:val="5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w:t>
            </w:r>
          </w:p>
        </w:tc>
        <w:tc>
          <w:tcPr>
            <w:tcW w:w="6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税费</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税率（XX）</w:t>
            </w:r>
          </w:p>
        </w:tc>
      </w:tr>
      <w:tr>
        <w:tblPrEx>
          <w:tblCellMar>
            <w:top w:w="0" w:type="dxa"/>
            <w:left w:w="108" w:type="dxa"/>
            <w:bottom w:w="0" w:type="dxa"/>
            <w:right w:w="108" w:type="dxa"/>
          </w:tblCellMar>
        </w:tblPrEx>
        <w:trPr>
          <w:trHeight w:val="241"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w:t>
            </w:r>
          </w:p>
        </w:tc>
        <w:tc>
          <w:tcPr>
            <w:tcW w:w="6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小计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r>
      <w:tr>
        <w:tblPrEx>
          <w:tblCellMar>
            <w:top w:w="0" w:type="dxa"/>
            <w:left w:w="108" w:type="dxa"/>
            <w:bottom w:w="0" w:type="dxa"/>
            <w:right w:w="108" w:type="dxa"/>
          </w:tblCellMar>
        </w:tblPrEx>
        <w:trPr>
          <w:trHeight w:val="607"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w:t>
            </w:r>
          </w:p>
        </w:tc>
        <w:tc>
          <w:tcPr>
            <w:tcW w:w="6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税金及附加费</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r>
      <w:tr>
        <w:tblPrEx>
          <w:tblCellMar>
            <w:top w:w="0" w:type="dxa"/>
            <w:left w:w="108" w:type="dxa"/>
            <w:bottom w:w="0" w:type="dxa"/>
            <w:right w:w="108" w:type="dxa"/>
          </w:tblCellMar>
        </w:tblPrEx>
        <w:trPr>
          <w:trHeight w:val="491"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kern w:val="0"/>
                <w:sz w:val="24"/>
                <w:szCs w:val="24"/>
                <w:highlight w:val="none"/>
                <w:lang w:bidi="ar"/>
              </w:rPr>
              <w:t>...</w:t>
            </w:r>
          </w:p>
        </w:tc>
        <w:tc>
          <w:tcPr>
            <w:tcW w:w="6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sz w:val="24"/>
                <w:szCs w:val="24"/>
                <w:highlight w:val="none"/>
              </w:rPr>
              <w:t>总价（含税）</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color w:val="auto"/>
                <w:kern w:val="0"/>
                <w:sz w:val="24"/>
                <w:szCs w:val="24"/>
                <w:highlight w:val="none"/>
                <w:lang w:bidi="ar"/>
              </w:rPr>
            </w:pPr>
          </w:p>
        </w:tc>
      </w:tr>
      <w:tr>
        <w:tblPrEx>
          <w:tblCellMar>
            <w:top w:w="0" w:type="dxa"/>
            <w:left w:w="108" w:type="dxa"/>
            <w:bottom w:w="0" w:type="dxa"/>
            <w:right w:w="108" w:type="dxa"/>
          </w:tblCellMar>
        </w:tblPrEx>
        <w:trPr>
          <w:trHeight w:val="583" w:hRule="atLeast"/>
          <w:jc w:val="center"/>
        </w:trPr>
        <w:tc>
          <w:tcPr>
            <w:tcW w:w="907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textAlignment w:val="center"/>
              <w:rPr>
                <w:rFonts w:hint="eastAsia" w:ascii="方正仿宋_GBK" w:hAnsi="方正仿宋_GBK" w:eastAsia="方正仿宋_GBK" w:cs="方正仿宋_GBK"/>
                <w:color w:val="auto"/>
                <w:kern w:val="0"/>
                <w:sz w:val="24"/>
                <w:szCs w:val="24"/>
                <w:highlight w:val="none"/>
                <w:lang w:bidi="ar"/>
              </w:rPr>
            </w:pPr>
            <w:r>
              <w:rPr>
                <w:rFonts w:hint="eastAsia" w:ascii="方正仿宋_GBK" w:hAnsi="方正仿宋_GBK" w:eastAsia="方正仿宋_GBK" w:cs="方正仿宋_GBK"/>
                <w:color w:val="auto"/>
                <w:sz w:val="24"/>
                <w:szCs w:val="24"/>
                <w:highlight w:val="none"/>
              </w:rPr>
              <w:t>备注：该项目各项工程量的合计总计最高</w:t>
            </w:r>
            <w:r>
              <w:rPr>
                <w:rFonts w:hint="eastAsia" w:ascii="方正仿宋_GBK" w:hAnsi="方正仿宋_GBK" w:eastAsia="方正仿宋_GBK" w:cs="方正仿宋_GBK"/>
                <w:bCs/>
                <w:color w:val="auto"/>
                <w:kern w:val="0"/>
                <w:sz w:val="24"/>
                <w:szCs w:val="24"/>
                <w:highlight w:val="none"/>
              </w:rPr>
              <w:t>限价282030.68万元(含税）。</w:t>
            </w:r>
          </w:p>
        </w:tc>
      </w:tr>
    </w:tbl>
    <w:p>
      <w:pPr>
        <w:pStyle w:val="3"/>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本合同单价为综合包干单价</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color w:val="auto"/>
          <w:sz w:val="24"/>
          <w:szCs w:val="24"/>
          <w:highlight w:val="none"/>
        </w:rPr>
        <w:t>综合包干单价的定义为：乙方为完成合同工作内容而必然发生的全部费用，包含：</w:t>
      </w:r>
      <w:r>
        <w:rPr>
          <w:rFonts w:hint="eastAsia" w:ascii="方正仿宋_GBK" w:hAnsi="方正仿宋_GBK" w:eastAsia="方正仿宋_GBK" w:cs="方正仿宋_GBK"/>
          <w:bCs/>
          <w:color w:val="auto"/>
          <w:sz w:val="24"/>
          <w:szCs w:val="24"/>
          <w:highlight w:val="none"/>
          <w:lang w:val="en-US" w:eastAsia="zh-CN"/>
        </w:rPr>
        <w:t>材料费、人工费、交通费、运输费、安全费、管理费、利润、各类税费等相关工作所需的一切费。竞选人因自身原因造成漏报、少报皆由其自行承担责任，采购人不再另行支付费用。</w:t>
      </w:r>
    </w:p>
    <w:p>
      <w:pPr>
        <w:spacing w:line="360" w:lineRule="auto"/>
        <w:ind w:firstLine="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r>
        <w:rPr>
          <w:rFonts w:hint="eastAsia" w:ascii="方正仿宋_GBK" w:hAnsi="方正仿宋_GBK" w:eastAsia="方正仿宋_GBK" w:cs="方正仿宋_GBK"/>
          <w:color w:val="auto"/>
          <w:sz w:val="24"/>
          <w:szCs w:val="24"/>
          <w:highlight w:val="none"/>
        </w:rPr>
        <w:t>三、维修期限：自乙方接受场地具体施工建设事项之日起</w:t>
      </w:r>
      <w:r>
        <w:rPr>
          <w:rFonts w:hint="eastAsia" w:ascii="方正仿宋_GBK" w:hAnsi="方正仿宋_GBK" w:eastAsia="方正仿宋_GBK" w:cs="方正仿宋_GBK"/>
          <w:color w:val="auto"/>
          <w:sz w:val="24"/>
          <w:szCs w:val="24"/>
          <w:highlight w:val="none"/>
          <w:u w:val="single"/>
        </w:rPr>
        <w:t xml:space="preserve"> 3个月</w:t>
      </w:r>
      <w:r>
        <w:rPr>
          <w:rFonts w:hint="eastAsia" w:ascii="方正仿宋_GBK" w:hAnsi="方正仿宋_GBK" w:eastAsia="方正仿宋_GBK" w:cs="方正仿宋_GBK"/>
          <w:color w:val="auto"/>
          <w:sz w:val="24"/>
          <w:szCs w:val="24"/>
          <w:highlight w:val="none"/>
        </w:rPr>
        <w:t>内完成场地建设。</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四、付款时间和付款方式 </w:t>
      </w:r>
    </w:p>
    <w:p>
      <w:pPr>
        <w:spacing w:line="360" w:lineRule="auto"/>
        <w:contextualSpacing/>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    （一）付款方式：</w:t>
      </w:r>
      <w:r>
        <w:rPr>
          <w:rFonts w:hint="eastAsia" w:ascii="方正仿宋_GBK" w:hAnsi="方正仿宋_GBK" w:eastAsia="方正仿宋_GBK" w:cs="方正仿宋_GBK"/>
          <w:color w:val="auto"/>
          <w:sz w:val="24"/>
          <w:szCs w:val="24"/>
          <w:highlight w:val="none"/>
          <w:u w:val="single"/>
        </w:rPr>
        <w:t xml:space="preserve"> 转账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（二）本合同不支付预付款。</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（三）维修工程完工经甲方验收合格后，乙方提供满足税法规定的足额增值税专用发票以及甲方要求的其他支付或结算资料，双方办理完《结算单》等结算手续后15个工作日内，甲方向乙方支付至结算金额的97%。</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（四）留结算金额的3%作为合同质保金，待质保期满后双方办理完《质量保修责任期终止报告》后15个工作日内，经双方确认无任何工程质量缺陷后，甲方一次性无息支付给乙方。</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五</w:t>
      </w:r>
      <w:r>
        <w:rPr>
          <w:rFonts w:hint="eastAsia" w:ascii="方正仿宋_GBK" w:hAnsi="方正仿宋_GBK" w:eastAsia="方正仿宋_GBK" w:cs="方正仿宋_GBK"/>
          <w:color w:val="auto"/>
          <w:sz w:val="24"/>
          <w:szCs w:val="24"/>
          <w:highlight w:val="none"/>
        </w:rPr>
        <w:t>、验收标准</w:t>
      </w:r>
    </w:p>
    <w:p>
      <w:pPr>
        <w:snapToGrid w:val="0"/>
        <w:spacing w:line="360" w:lineRule="auto"/>
        <w:ind w:firstLine="105" w:firstLineChars="44"/>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（一）</w:t>
      </w:r>
      <w:r>
        <w:rPr>
          <w:rFonts w:hint="eastAsia" w:ascii="方正仿宋_GBK" w:hAnsi="方正仿宋_GBK" w:eastAsia="方正仿宋_GBK" w:cs="方正仿宋_GBK"/>
          <w:color w:val="auto"/>
          <w:sz w:val="24"/>
          <w:szCs w:val="24"/>
          <w:highlight w:val="none"/>
          <w:lang w:eastAsia="zh-CN"/>
        </w:rPr>
        <w:t>施工</w:t>
      </w:r>
      <w:r>
        <w:rPr>
          <w:rFonts w:hint="eastAsia" w:ascii="方正仿宋_GBK" w:hAnsi="方正仿宋_GBK" w:eastAsia="方正仿宋_GBK" w:cs="方正仿宋_GBK"/>
          <w:color w:val="auto"/>
          <w:sz w:val="24"/>
          <w:szCs w:val="24"/>
          <w:highlight w:val="none"/>
        </w:rPr>
        <w:t>内容与施工计划一致，性能指标达到规定的标准。</w:t>
      </w:r>
    </w:p>
    <w:p>
      <w:pPr>
        <w:spacing w:line="360" w:lineRule="auto"/>
        <w:ind w:firstLine="105" w:firstLineChars="44"/>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（二）验收合格后甲乙双方需签订经双方签字盖章的验收确认单。</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（三）参照国家及行业强制标准等进行验收，验收过程中所产生的一切费用由乙方承担。</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六</w:t>
      </w:r>
      <w:r>
        <w:rPr>
          <w:rFonts w:hint="eastAsia" w:ascii="方正仿宋_GBK" w:hAnsi="方正仿宋_GBK" w:eastAsia="方正仿宋_GBK" w:cs="方正仿宋_GBK"/>
          <w:color w:val="auto"/>
          <w:sz w:val="24"/>
          <w:szCs w:val="24"/>
          <w:highlight w:val="none"/>
        </w:rPr>
        <w:t>、质量保证期限</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shd w:val="clear" w:color="auto" w:fill="FFFFFF"/>
        </w:rPr>
        <w:t>质保期为</w:t>
      </w:r>
      <w:r>
        <w:rPr>
          <w:rFonts w:hint="eastAsia" w:ascii="方正仿宋_GBK" w:hAnsi="方正仿宋_GBK" w:eastAsia="方正仿宋_GBK" w:cs="方正仿宋_GBK"/>
          <w:color w:val="auto"/>
          <w:sz w:val="24"/>
          <w:szCs w:val="24"/>
          <w:highlight w:val="none"/>
          <w:u w:val="single"/>
          <w:shd w:val="clear" w:color="auto" w:fill="FFFFFF"/>
        </w:rPr>
        <w:t xml:space="preserve"> </w:t>
      </w:r>
      <w:r>
        <w:rPr>
          <w:rFonts w:hint="eastAsia" w:ascii="方正仿宋_GBK" w:hAnsi="方正仿宋_GBK" w:eastAsia="方正仿宋_GBK" w:cs="方正仿宋_GBK"/>
          <w:color w:val="auto"/>
          <w:sz w:val="24"/>
          <w:szCs w:val="24"/>
          <w:highlight w:val="none"/>
          <w:u w:val="single"/>
          <w:shd w:val="clear" w:color="auto" w:fill="FFFFFF"/>
          <w:lang w:val="en-US" w:eastAsia="zh-CN"/>
        </w:rPr>
        <w:t>24</w:t>
      </w:r>
      <w:r>
        <w:rPr>
          <w:rFonts w:hint="eastAsia" w:ascii="方正仿宋_GBK" w:hAnsi="方正仿宋_GBK" w:eastAsia="方正仿宋_GBK" w:cs="方正仿宋_GBK"/>
          <w:color w:val="auto"/>
          <w:sz w:val="24"/>
          <w:szCs w:val="24"/>
          <w:highlight w:val="none"/>
          <w:u w:val="single"/>
          <w:shd w:val="clear" w:color="auto" w:fill="FFFFFF"/>
        </w:rPr>
        <w:t xml:space="preserve"> </w:t>
      </w:r>
      <w:r>
        <w:rPr>
          <w:rFonts w:hint="eastAsia" w:ascii="方正仿宋_GBK" w:hAnsi="方正仿宋_GBK" w:eastAsia="方正仿宋_GBK" w:cs="方正仿宋_GBK"/>
          <w:color w:val="auto"/>
          <w:sz w:val="24"/>
          <w:szCs w:val="24"/>
          <w:highlight w:val="none"/>
          <w:shd w:val="clear" w:color="auto" w:fill="FFFFFF"/>
        </w:rPr>
        <w:t>个月，从验收合格后第二日开始计算。质保不含人为造成损耗情况。</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七</w:t>
      </w:r>
      <w:r>
        <w:rPr>
          <w:rFonts w:hint="eastAsia" w:ascii="方正仿宋_GBK" w:hAnsi="方正仿宋_GBK" w:eastAsia="方正仿宋_GBK" w:cs="方正仿宋_GBK"/>
          <w:color w:val="auto"/>
          <w:sz w:val="24"/>
          <w:szCs w:val="24"/>
          <w:highlight w:val="none"/>
        </w:rPr>
        <w:t>、甲方权利和义务</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（一）由于甲方使用不当所造成的</w:t>
      </w:r>
      <w:r>
        <w:rPr>
          <w:rFonts w:hint="eastAsia" w:ascii="方正仿宋_GBK" w:hAnsi="方正仿宋_GBK" w:eastAsia="方正仿宋_GBK" w:cs="方正仿宋_GBK"/>
          <w:color w:val="auto"/>
          <w:sz w:val="24"/>
          <w:szCs w:val="24"/>
          <w:highlight w:val="none"/>
          <w:lang w:eastAsia="zh-CN"/>
        </w:rPr>
        <w:t>返工</w:t>
      </w:r>
      <w:r>
        <w:rPr>
          <w:rFonts w:hint="eastAsia" w:ascii="方正仿宋_GBK" w:hAnsi="方正仿宋_GBK" w:eastAsia="方正仿宋_GBK" w:cs="方正仿宋_GBK"/>
          <w:color w:val="auto"/>
          <w:sz w:val="24"/>
          <w:szCs w:val="24"/>
          <w:highlight w:val="none"/>
        </w:rPr>
        <w:t>，不属施工质量保证范围，所产生的费用由甲方承担。</w:t>
      </w:r>
    </w:p>
    <w:p>
      <w:pPr>
        <w:widowControl/>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（二）甲方在合同服务期间将对乙方服务质量进行考核，有</w:t>
      </w:r>
      <w:r>
        <w:rPr>
          <w:rFonts w:hint="eastAsia" w:ascii="方正仿宋_GBK" w:hAnsi="方正仿宋_GBK" w:eastAsia="方正仿宋_GBK" w:cs="方正仿宋_GBK"/>
          <w:color w:val="auto"/>
          <w:sz w:val="24"/>
          <w:szCs w:val="24"/>
          <w:highlight w:val="none"/>
          <w:u w:val="single"/>
        </w:rPr>
        <w:t>3</w:t>
      </w:r>
      <w:r>
        <w:rPr>
          <w:rFonts w:hint="eastAsia" w:ascii="方正仿宋_GBK" w:hAnsi="方正仿宋_GBK" w:eastAsia="方正仿宋_GBK" w:cs="方正仿宋_GBK"/>
          <w:color w:val="auto"/>
          <w:sz w:val="24"/>
          <w:szCs w:val="24"/>
          <w:highlight w:val="none"/>
        </w:rPr>
        <w:t>次以上施工质量不合格、不按承诺的时间交付或未按承诺内容服务，甲方可暂停或终止合同。</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八</w:t>
      </w:r>
      <w:r>
        <w:rPr>
          <w:rFonts w:hint="eastAsia" w:ascii="方正仿宋_GBK" w:hAnsi="方正仿宋_GBK" w:eastAsia="方正仿宋_GBK" w:cs="方正仿宋_GBK"/>
          <w:color w:val="auto"/>
          <w:sz w:val="24"/>
          <w:szCs w:val="24"/>
          <w:highlight w:val="none"/>
        </w:rPr>
        <w:t>、乙方权利和义务</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（一）在合同期内，乙方提供施工以及急救服务。</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（二）甲方到期未结清工程费用时，乙方可终止对甲方的施工建设服务。</w:t>
      </w:r>
    </w:p>
    <w:p>
      <w:pPr>
        <w:spacing w:line="360" w:lineRule="auto"/>
        <w:ind w:firstLine="200"/>
        <w:contextualSpacing/>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   </w:t>
      </w:r>
      <w:r>
        <w:rPr>
          <w:rFonts w:hint="eastAsia" w:ascii="方正仿宋_GBK" w:hAnsi="方正仿宋_GBK" w:eastAsia="方正仿宋_GBK" w:cs="方正仿宋_GBK"/>
          <w:bCs/>
          <w:color w:val="auto"/>
          <w:sz w:val="24"/>
          <w:szCs w:val="24"/>
          <w:highlight w:val="none"/>
        </w:rPr>
        <w:t>（三）</w:t>
      </w:r>
      <w:r>
        <w:rPr>
          <w:rFonts w:hint="eastAsia" w:ascii="方正仿宋_GBK" w:hAnsi="方正仿宋_GBK" w:eastAsia="方正仿宋_GBK" w:cs="方正仿宋_GBK"/>
          <w:color w:val="auto"/>
          <w:sz w:val="24"/>
          <w:szCs w:val="24"/>
          <w:highlight w:val="none"/>
        </w:rPr>
        <w:t>乙方应按照国家及行业相关规范进行施工作业，采取必要安全防护措施。如在合同履行期间，因乙方自身原因造成了人员、设备、材料以及建筑物等的伤害和损失，由乙方承担相应经济和法律责任。</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九</w:t>
      </w:r>
      <w:r>
        <w:rPr>
          <w:rFonts w:hint="eastAsia" w:ascii="方正仿宋_GBK" w:hAnsi="方正仿宋_GBK" w:eastAsia="方正仿宋_GBK" w:cs="方正仿宋_GBK"/>
          <w:color w:val="auto"/>
          <w:sz w:val="24"/>
          <w:szCs w:val="24"/>
          <w:highlight w:val="none"/>
        </w:rPr>
        <w:t>、违约责任</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（一）乙方应在约定时间内完成工作，否则每延长一日，甲方可按</w:t>
      </w:r>
      <w:r>
        <w:rPr>
          <w:rFonts w:hint="eastAsia" w:ascii="方正仿宋_GBK" w:hAnsi="方正仿宋_GBK" w:eastAsia="方正仿宋_GBK" w:cs="方正仿宋_GBK"/>
          <w:color w:val="auto"/>
          <w:sz w:val="24"/>
          <w:szCs w:val="24"/>
          <w:highlight w:val="none"/>
          <w:u w:val="single"/>
        </w:rPr>
        <w:t xml:space="preserve"> 500 </w:t>
      </w:r>
      <w:r>
        <w:rPr>
          <w:rFonts w:hint="eastAsia" w:ascii="方正仿宋_GBK" w:hAnsi="方正仿宋_GBK" w:eastAsia="方正仿宋_GBK" w:cs="方正仿宋_GBK"/>
          <w:color w:val="auto"/>
          <w:sz w:val="24"/>
          <w:szCs w:val="24"/>
          <w:highlight w:val="none"/>
        </w:rPr>
        <w:t>元/日计收违约金。</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（二）乙方未按照甲方要求进行施工建设服务的，甲方有权终止合同，并列入甲方黑名单，不再参与甲方所有施工建设服务。</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 施工期间，乙方人员虚报施工建设费或施工建设弄虚作假的，甲方可按</w:t>
      </w:r>
      <w:r>
        <w:rPr>
          <w:rFonts w:hint="eastAsia" w:ascii="方正仿宋_GBK" w:hAnsi="方正仿宋_GBK" w:eastAsia="方正仿宋_GBK" w:cs="方正仿宋_GBK"/>
          <w:color w:val="auto"/>
          <w:sz w:val="24"/>
          <w:szCs w:val="24"/>
          <w:highlight w:val="none"/>
          <w:u w:val="single"/>
        </w:rPr>
        <w:t xml:space="preserve"> 1000 </w:t>
      </w:r>
      <w:r>
        <w:rPr>
          <w:rFonts w:hint="eastAsia" w:ascii="方正仿宋_GBK" w:hAnsi="方正仿宋_GBK" w:eastAsia="方正仿宋_GBK" w:cs="方正仿宋_GBK"/>
          <w:color w:val="auto"/>
          <w:sz w:val="24"/>
          <w:szCs w:val="24"/>
          <w:highlight w:val="none"/>
        </w:rPr>
        <w:t>元/次计收违约金，且可不支付相应施工建设费用，情节严重时，甲方可终止合同。</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十</w:t>
      </w:r>
      <w:r>
        <w:rPr>
          <w:rFonts w:hint="eastAsia" w:ascii="方正仿宋_GBK" w:hAnsi="方正仿宋_GBK" w:eastAsia="方正仿宋_GBK" w:cs="方正仿宋_GBK"/>
          <w:color w:val="auto"/>
          <w:sz w:val="24"/>
          <w:szCs w:val="24"/>
          <w:highlight w:val="none"/>
        </w:rPr>
        <w:t>、合同期限</w:t>
      </w:r>
    </w:p>
    <w:p>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（一）服务有效期</w:t>
      </w:r>
      <w:r>
        <w:rPr>
          <w:rFonts w:hint="eastAsia" w:ascii="方正仿宋_GBK" w:hAnsi="方正仿宋_GBK" w:eastAsia="方正仿宋_GBK" w:cs="方正仿宋_GBK"/>
          <w:color w:val="auto"/>
          <w:sz w:val="24"/>
          <w:szCs w:val="24"/>
          <w:highlight w:val="none"/>
          <w:u w:val="single"/>
        </w:rPr>
        <w:t xml:space="preserve"> 3个月</w:t>
      </w:r>
      <w:r>
        <w:rPr>
          <w:rFonts w:hint="eastAsia" w:ascii="方正仿宋_GBK" w:hAnsi="方正仿宋_GBK" w:eastAsia="方正仿宋_GBK" w:cs="方正仿宋_GBK"/>
          <w:color w:val="auto"/>
          <w:sz w:val="24"/>
          <w:szCs w:val="24"/>
          <w:highlight w:val="none"/>
        </w:rPr>
        <w:t>，本合同有效期自</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日至</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日止。</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十一</w:t>
      </w:r>
      <w:r>
        <w:rPr>
          <w:rFonts w:hint="eastAsia" w:ascii="方正仿宋_GBK" w:hAnsi="方正仿宋_GBK" w:eastAsia="方正仿宋_GBK" w:cs="方正仿宋_GBK"/>
          <w:color w:val="auto"/>
          <w:sz w:val="24"/>
          <w:szCs w:val="24"/>
          <w:highlight w:val="none"/>
        </w:rPr>
        <w:t>、争议的解决</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本合同在履行过程中发生争议由当事人双方协商解决，协商不成，可向甲方所在的辖区人民法院起诉。</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十二</w:t>
      </w:r>
      <w:r>
        <w:rPr>
          <w:rFonts w:hint="eastAsia" w:ascii="方正仿宋_GBK" w:hAnsi="方正仿宋_GBK" w:eastAsia="方正仿宋_GBK" w:cs="方正仿宋_GBK"/>
          <w:color w:val="auto"/>
          <w:sz w:val="24"/>
          <w:szCs w:val="24"/>
          <w:highlight w:val="none"/>
        </w:rPr>
        <w:t>、其他约定</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（一）合同一方因不可抗力的因素而无履约能力时，本合同可终止。</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（二）本合同未尽事宜，双方协商解决，可签订补充协议。补充协议为本合同组成部分，与本合同具有同等法律效力。</w:t>
      </w:r>
    </w:p>
    <w:p>
      <w:pPr>
        <w:spacing w:line="360" w:lineRule="auto"/>
        <w:ind w:firstLine="480" w:firstLineChars="200"/>
        <w:contextualSpacing/>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（三）本合同一式</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份，甲、乙双方各执</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份，具有同等法律效力。</w:t>
      </w:r>
    </w:p>
    <w:p>
      <w:pPr>
        <w:spacing w:line="360" w:lineRule="auto"/>
        <w:ind w:firstLine="480" w:firstLineChars="200"/>
        <w:jc w:val="left"/>
        <w:rPr>
          <w:rFonts w:hint="eastAsia" w:ascii="方正仿宋_GBK" w:hAnsi="方正仿宋_GBK" w:eastAsia="方正仿宋_GBK" w:cs="方正仿宋_GBK"/>
          <w:bCs/>
          <w:color w:val="auto"/>
          <w:sz w:val="24"/>
          <w:szCs w:val="24"/>
          <w:highlight w:val="none"/>
        </w:rPr>
      </w:pPr>
    </w:p>
    <w:p>
      <w:pPr>
        <w:spacing w:line="360" w:lineRule="auto"/>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甲方(盖章)：                    乙方（盖章）：</w:t>
      </w:r>
    </w:p>
    <w:p>
      <w:pPr>
        <w:spacing w:line="360" w:lineRule="auto"/>
        <w:jc w:val="left"/>
        <w:rPr>
          <w:rFonts w:hint="eastAsia" w:ascii="方正仿宋_GBK" w:hAnsi="方正仿宋_GBK" w:eastAsia="方正仿宋_GBK" w:cs="方正仿宋_GBK"/>
          <w:bCs/>
          <w:color w:val="auto"/>
          <w:sz w:val="24"/>
          <w:szCs w:val="24"/>
          <w:highlight w:val="none"/>
        </w:rPr>
      </w:pPr>
    </w:p>
    <w:p>
      <w:pPr>
        <w:spacing w:line="360" w:lineRule="auto"/>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法定代表人                     法定代表人</w:t>
      </w:r>
    </w:p>
    <w:p>
      <w:pPr>
        <w:spacing w:line="360" w:lineRule="auto"/>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或授权代表：                   或授权代表：</w:t>
      </w:r>
    </w:p>
    <w:p>
      <w:pPr>
        <w:spacing w:line="360" w:lineRule="auto"/>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签约日期：                     签约日期：</w:t>
      </w:r>
    </w:p>
    <w:p>
      <w:pPr>
        <w:spacing w:line="360" w:lineRule="auto"/>
        <w:ind w:left="3840" w:hanging="3840" w:hangingChars="16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签约地点：                     签约地点：</w:t>
      </w:r>
    </w:p>
    <w:p>
      <w:pPr>
        <w:spacing w:line="360" w:lineRule="auto"/>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联系电话：                     联系电话： </w:t>
      </w:r>
    </w:p>
    <w:p>
      <w:pPr>
        <w:spacing w:line="360" w:lineRule="auto"/>
        <w:ind w:left="3840" w:hanging="3840" w:hangingChars="16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联系地址：                     联系地址：</w:t>
      </w:r>
    </w:p>
    <w:p>
      <w:pPr>
        <w:widowControl/>
        <w:spacing w:line="360" w:lineRule="auto"/>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pPr>
        <w:spacing w:line="360" w:lineRule="auto"/>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rPr>
        <w:t>采购廉政合同</w:t>
      </w:r>
    </w:p>
    <w:p>
      <w:pPr>
        <w:spacing w:line="360" w:lineRule="auto"/>
        <w:rPr>
          <w:rFonts w:hint="eastAsia" w:ascii="方正仿宋_GBK" w:hAnsi="方正仿宋_GBK" w:eastAsia="方正仿宋_GBK" w:cs="方正仿宋_GBK"/>
          <w:b/>
          <w:color w:val="auto"/>
          <w:sz w:val="24"/>
          <w:szCs w:val="24"/>
          <w:highlight w:val="none"/>
        </w:rPr>
      </w:pPr>
    </w:p>
    <w:p>
      <w:pPr>
        <w:spacing w:line="360" w:lineRule="auto"/>
        <w:ind w:firstLine="482" w:firstLineChars="200"/>
        <w:rPr>
          <w:rFonts w:hint="eastAsia" w:ascii="方正仿宋_GBK" w:hAnsi="方正仿宋_GBK" w:eastAsia="方正仿宋_GBK" w:cs="方正仿宋_GBK"/>
          <w:b/>
          <w:bCs/>
          <w:color w:val="auto"/>
          <w:sz w:val="24"/>
          <w:szCs w:val="24"/>
          <w:highlight w:val="none"/>
          <w:u w:val="single"/>
        </w:rPr>
      </w:pPr>
      <w:r>
        <w:rPr>
          <w:rFonts w:hint="eastAsia" w:ascii="方正仿宋_GBK" w:hAnsi="方正仿宋_GBK" w:eastAsia="方正仿宋_GBK" w:cs="方正仿宋_GBK"/>
          <w:b/>
          <w:bCs/>
          <w:color w:val="auto"/>
          <w:sz w:val="24"/>
          <w:szCs w:val="24"/>
          <w:highlight w:val="none"/>
        </w:rPr>
        <w:t>甲方（采购单位）：</w:t>
      </w:r>
      <w:r>
        <w:rPr>
          <w:rFonts w:hint="eastAsia" w:ascii="方正仿宋_GBK" w:hAnsi="方正仿宋_GBK" w:eastAsia="方正仿宋_GBK" w:cs="方正仿宋_GBK"/>
          <w:b/>
          <w:bCs/>
          <w:color w:val="auto"/>
          <w:sz w:val="24"/>
          <w:szCs w:val="24"/>
          <w:highlight w:val="none"/>
          <w:u w:val="single"/>
        </w:rPr>
        <w:t xml:space="preserve">                     </w:t>
      </w:r>
    </w:p>
    <w:p>
      <w:pPr>
        <w:spacing w:line="360" w:lineRule="auto"/>
        <w:ind w:firstLine="482" w:firstLineChars="200"/>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b/>
          <w:bCs/>
          <w:color w:val="auto"/>
          <w:sz w:val="24"/>
          <w:szCs w:val="24"/>
          <w:highlight w:val="none"/>
        </w:rPr>
        <w:t>乙方（施工单位）：</w:t>
      </w:r>
      <w:r>
        <w:rPr>
          <w:rFonts w:hint="eastAsia" w:ascii="方正仿宋_GBK" w:hAnsi="方正仿宋_GBK" w:eastAsia="方正仿宋_GBK" w:cs="方正仿宋_GBK"/>
          <w:b/>
          <w:bCs/>
          <w:color w:val="auto"/>
          <w:sz w:val="24"/>
          <w:szCs w:val="24"/>
          <w:highlight w:val="none"/>
          <w:u w:val="single"/>
        </w:rPr>
        <w:t xml:space="preserve">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为加强物资设备及服务采购供应中的廉政建设，规范、约束采供双方的行为，防止违法违纪和不廉洁问题的发生，维护合同双方合法利益，经双方同意在签订采购合同的同时，签订本廉政合同书。</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一、甲方义务</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（一）严格遵守国家政策法令和廉政规定，严格执行招竞选和集团《非招标采购方式管理办法》有关规定实施具体采购行为。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（二）不得向乙方索取或接受乙方任何形式的现金、有价证券、支付凭证和礼品等。</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（三）不得接受乙方提供的公款旅游和高消费健身、娱乐等活动，不得参加乙方组织的有可能影响公正履行合同的宴请等活动。</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（四）不得要求乙方为自己及其亲友的经营活动提供便利条例。</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（五）不得在乙方合同签订、验收、付款等正常按约履行时为索取合同约定以外的费用而推诿扯皮、借故刁难。</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二、乙方义务</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（一）不得以任何形式向甲方及其工作人员送礼金、有价证券、支付凭证和礼品等。</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（二）不得支付甲方及其工作人员私自以咨询费、劳务费等名义索要各种费用、报销应由甲方个人承担的费用。</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（三）不得为甲方及其工作人员提供公款旅游、消费健身娱乐活动，不得利用宴请等活动影响甲方人员公正履行合同。</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（四）不得为甲方工作人员及其亲友的营利活动提供便利条件。</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（五）不得在合同签订、验收、付款等履行环节为获得便利向甲方任何人支付任何合同约定以外的费用。</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（六）发现甲方工作人员在业务活动中有违规、违纪、违法行为的，应及时提醒对方，情节严重的，应及时向监督部门反映。</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三、违责处罚</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（一）甲方工作人员及其家属发生违责行为，一经查实，将依据有关法律法规和规定给与党纪、政纪处分或组织处理；涉嫌犯罪的，移交司法机关追究刑事责任</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乙方发生廉政违责行为，情节严重的，立即停止合同执行，取消乙方继续供货资格，同时甲方有权立即解除合同，并剔除出甲方合作单位名录，取消乙方参与甲方采购项目的资格；涉嫌犯罪的，将移交司法机关追究刑事责任；如乙方行贿行为对甲方单位造成经济损失的，应无条件予以相应金额的损失赔偿。</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四、其他</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（一）监督部门：垃圾运输公司纪律检查组；</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监督举报电话：023-67176842；</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监督举报信件地址：重庆市渝北区双龙湖街道方家山社区夏家坝智慧固废物流转运港办公大楼二楼213派驻纪检组办公室，邮箱编码：401120。</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（二）本合同在甲乙双方签订采购合同时一并签订，并具有同等效力，作为采购合同的附件一并存档。</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本合同一式肆份，甲方执叁份，乙方执壹份。</w:t>
      </w:r>
    </w:p>
    <w:p>
      <w:pPr>
        <w:spacing w:line="360" w:lineRule="auto"/>
        <w:ind w:firstLine="480" w:firstLineChars="200"/>
        <w:rPr>
          <w:rFonts w:hint="eastAsia" w:ascii="方正仿宋_GBK" w:hAnsi="方正仿宋_GBK" w:eastAsia="方正仿宋_GBK" w:cs="方正仿宋_GBK"/>
          <w:color w:val="auto"/>
          <w:sz w:val="24"/>
          <w:szCs w:val="24"/>
          <w:highlight w:val="none"/>
        </w:rPr>
      </w:pPr>
    </w:p>
    <w:p>
      <w:pPr>
        <w:spacing w:line="360" w:lineRule="auto"/>
        <w:ind w:firstLine="480" w:firstLineChars="200"/>
        <w:rPr>
          <w:rFonts w:hint="eastAsia" w:ascii="方正仿宋_GBK" w:hAnsi="方正仿宋_GBK" w:eastAsia="方正仿宋_GBK" w:cs="方正仿宋_GBK"/>
          <w:color w:val="auto"/>
          <w:sz w:val="24"/>
          <w:szCs w:val="24"/>
          <w:highlight w:val="none"/>
        </w:rPr>
      </w:pP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甲方（盖章）：                   乙方（盖章）：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法定代表人（签字）：             法定代表人（签字）：      </w:t>
      </w:r>
    </w:p>
    <w:p>
      <w:pPr>
        <w:spacing w:line="360" w:lineRule="auto"/>
        <w:ind w:firstLine="480" w:firstLineChars="200"/>
        <w:rPr>
          <w:rFonts w:hint="eastAsia" w:ascii="方正仿宋_GBK" w:hAnsi="方正仿宋_GBK" w:eastAsia="方正仿宋_GBK" w:cs="方正仿宋_GBK"/>
          <w:color w:val="auto"/>
          <w:sz w:val="24"/>
          <w:szCs w:val="24"/>
          <w:highlight w:val="none"/>
        </w:rPr>
      </w:pP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或委托代理人（签字）：           或委托代理人（签字）：</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pPr>
        <w:spacing w:line="360" w:lineRule="auto"/>
        <w:ind w:firstLine="480" w:firstLineChars="200"/>
        <w:rPr>
          <w:rFonts w:hint="eastAsia" w:ascii="方正仿宋_GBK" w:hAnsi="方正仿宋_GBK" w:eastAsia="方正仿宋_GBK" w:cs="方正仿宋_GBK"/>
          <w:color w:val="auto"/>
          <w:sz w:val="24"/>
          <w:szCs w:val="24"/>
          <w:highlight w:val="none"/>
        </w:rPr>
        <w:sectPr>
          <w:headerReference r:id="rId5" w:type="first"/>
          <w:headerReference r:id="rId3" w:type="default"/>
          <w:footerReference r:id="rId6" w:type="default"/>
          <w:headerReference r:id="rId4" w:type="even"/>
          <w:pgSz w:w="11907" w:h="16840"/>
          <w:pgMar w:top="1134" w:right="1191" w:bottom="1134" w:left="1304" w:header="964" w:footer="992" w:gutter="0"/>
          <w:cols w:space="720" w:num="1"/>
          <w:docGrid w:linePitch="380" w:charSpace="-5735"/>
        </w:sectPr>
      </w:pPr>
      <w:r>
        <w:rPr>
          <w:rFonts w:hint="eastAsia" w:ascii="方正仿宋_GBK" w:hAnsi="方正仿宋_GBK" w:eastAsia="方正仿宋_GBK" w:cs="方正仿宋_GBK"/>
          <w:color w:val="auto"/>
          <w:sz w:val="24"/>
          <w:szCs w:val="24"/>
          <w:highlight w:val="none"/>
        </w:rPr>
        <w:t>年   月   日                     年   月   日</w:t>
      </w:r>
    </w:p>
    <w:p>
      <w:pPr>
        <w:pStyle w:val="62"/>
        <w:spacing w:line="360" w:lineRule="auto"/>
        <w:ind w:left="1120"/>
        <w:jc w:val="center"/>
        <w:rPr>
          <w:rFonts w:hint="eastAsia" w:ascii="方正仿宋_GBK" w:hAnsi="方正仿宋_GBK" w:eastAsia="方正仿宋_GBK" w:cs="方正仿宋_GBK"/>
          <w:b/>
          <w:color w:val="auto"/>
          <w:highlight w:val="none"/>
        </w:rPr>
      </w:pPr>
      <w:r>
        <w:rPr>
          <w:rFonts w:hint="eastAsia" w:ascii="方正小标宋_GBK" w:hAnsi="方正小标宋_GBK" w:eastAsia="方正小标宋_GBK" w:cs="方正小标宋_GBK"/>
          <w:color w:val="auto"/>
          <w:kern w:val="2"/>
          <w:sz w:val="40"/>
          <w:szCs w:val="40"/>
          <w:highlight w:val="none"/>
        </w:rPr>
        <w:t>安全协议书</w:t>
      </w:r>
      <w:r>
        <w:rPr>
          <w:rFonts w:hint="eastAsia" w:ascii="方正小标宋_GBK" w:hAnsi="方正小标宋_GBK" w:eastAsia="方正小标宋_GBK" w:cs="方正小标宋_GBK"/>
          <w:color w:val="auto"/>
          <w:sz w:val="40"/>
          <w:szCs w:val="40"/>
          <w:highlight w:val="none"/>
        </w:rPr>
        <w:t xml:space="preserve"> </w:t>
      </w:r>
      <w:r>
        <w:rPr>
          <w:rFonts w:hint="eastAsia" w:ascii="方正仿宋_GBK" w:hAnsi="方正仿宋_GBK" w:eastAsia="方正仿宋_GBK" w:cs="方正仿宋_GBK"/>
          <w:color w:val="auto"/>
          <w:sz w:val="22"/>
          <w:szCs w:val="22"/>
          <w:highlight w:val="none"/>
        </w:rPr>
        <w:t xml:space="preserve">      </w:t>
      </w:r>
      <w:r>
        <w:rPr>
          <w:rFonts w:hint="eastAsia" w:ascii="方正仿宋_GBK" w:hAnsi="方正仿宋_GBK" w:eastAsia="方正仿宋_GBK" w:cs="方正仿宋_GBK"/>
          <w:color w:val="auto"/>
          <w:highlight w:val="none"/>
        </w:rPr>
        <w:t xml:space="preserve">                                      </w:t>
      </w:r>
    </w:p>
    <w:p>
      <w:pPr>
        <w:pStyle w:val="62"/>
        <w:spacing w:line="360" w:lineRule="auto"/>
        <w:ind w:left="1120"/>
        <w:jc w:val="center"/>
        <w:rPr>
          <w:rFonts w:hint="eastAsia" w:ascii="方正仿宋_GBK" w:hAnsi="方正仿宋_GBK" w:eastAsia="方正仿宋_GBK" w:cs="方正仿宋_GBK"/>
          <w:b/>
          <w:color w:val="auto"/>
          <w:highlight w:val="none"/>
        </w:rPr>
      </w:pPr>
    </w:p>
    <w:p>
      <w:pPr>
        <w:spacing w:line="360" w:lineRule="auto"/>
        <w:ind w:firstLine="482" w:firstLineChars="200"/>
        <w:rPr>
          <w:rFonts w:hint="eastAsia" w:ascii="方正仿宋_GBK" w:hAnsi="方正仿宋_GBK" w:eastAsia="方正仿宋_GBK" w:cs="方正仿宋_GBK"/>
          <w:b/>
          <w:bCs/>
          <w:color w:val="auto"/>
          <w:sz w:val="24"/>
          <w:szCs w:val="24"/>
          <w:highlight w:val="none"/>
          <w:u w:val="single"/>
        </w:rPr>
      </w:pPr>
      <w:r>
        <w:rPr>
          <w:rFonts w:hint="eastAsia" w:ascii="方正仿宋_GBK" w:hAnsi="方正仿宋_GBK" w:eastAsia="方正仿宋_GBK" w:cs="方正仿宋_GBK"/>
          <w:b/>
          <w:bCs/>
          <w:color w:val="auto"/>
          <w:sz w:val="24"/>
          <w:szCs w:val="24"/>
          <w:highlight w:val="none"/>
        </w:rPr>
        <w:t>甲方：</w:t>
      </w:r>
      <w:r>
        <w:rPr>
          <w:rFonts w:hint="eastAsia" w:ascii="方正仿宋_GBK" w:hAnsi="方正仿宋_GBK" w:eastAsia="方正仿宋_GBK" w:cs="方正仿宋_GBK"/>
          <w:b/>
          <w:bCs/>
          <w:color w:val="auto"/>
          <w:sz w:val="24"/>
          <w:szCs w:val="24"/>
          <w:highlight w:val="none"/>
          <w:u w:val="single"/>
        </w:rPr>
        <w:t xml:space="preserve">                             </w:t>
      </w:r>
    </w:p>
    <w:p>
      <w:pPr>
        <w:spacing w:line="360" w:lineRule="auto"/>
        <w:ind w:firstLine="482" w:firstLineChars="200"/>
        <w:rPr>
          <w:rFonts w:hint="eastAsia" w:ascii="方正仿宋_GBK" w:hAnsi="方正仿宋_GBK" w:eastAsia="方正仿宋_GBK" w:cs="方正仿宋_GBK"/>
          <w:b/>
          <w:bCs/>
          <w:color w:val="auto"/>
          <w:sz w:val="24"/>
          <w:szCs w:val="24"/>
          <w:highlight w:val="none"/>
          <w:u w:val="single"/>
        </w:rPr>
      </w:pPr>
      <w:r>
        <w:rPr>
          <w:rFonts w:hint="eastAsia" w:ascii="方正仿宋_GBK" w:hAnsi="方正仿宋_GBK" w:eastAsia="方正仿宋_GBK" w:cs="方正仿宋_GBK"/>
          <w:b/>
          <w:bCs/>
          <w:color w:val="auto"/>
          <w:sz w:val="24"/>
          <w:szCs w:val="24"/>
          <w:highlight w:val="none"/>
        </w:rPr>
        <w:t>乙方：</w:t>
      </w:r>
      <w:r>
        <w:rPr>
          <w:rFonts w:hint="eastAsia" w:ascii="方正仿宋_GBK" w:hAnsi="方正仿宋_GBK" w:eastAsia="方正仿宋_GBK" w:cs="方正仿宋_GBK"/>
          <w:b/>
          <w:bCs/>
          <w:color w:val="auto"/>
          <w:sz w:val="24"/>
          <w:szCs w:val="24"/>
          <w:highlight w:val="none"/>
          <w:u w:val="single"/>
        </w:rPr>
        <w:t xml:space="preserve">                             </w:t>
      </w:r>
    </w:p>
    <w:p>
      <w:pPr>
        <w:spacing w:line="360" w:lineRule="auto"/>
        <w:ind w:firstLine="482" w:firstLineChars="200"/>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项目名称：</w:t>
      </w:r>
      <w:r>
        <w:rPr>
          <w:rFonts w:hint="eastAsia" w:ascii="方正仿宋_GBK" w:hAnsi="方正仿宋_GBK" w:eastAsia="方正仿宋_GBK" w:cs="方正仿宋_GBK"/>
          <w:b/>
          <w:bCs/>
          <w:color w:val="auto"/>
          <w:sz w:val="24"/>
          <w:szCs w:val="24"/>
          <w:highlight w:val="none"/>
          <w:u w:val="single"/>
        </w:rPr>
        <w:t xml:space="preserve">                         </w:t>
      </w:r>
      <w:r>
        <w:rPr>
          <w:rFonts w:hint="eastAsia" w:ascii="方正仿宋_GBK" w:hAnsi="方正仿宋_GBK" w:eastAsia="方正仿宋_GBK" w:cs="方正仿宋_GBK"/>
          <w:b/>
          <w:bCs/>
          <w:color w:val="auto"/>
          <w:sz w:val="24"/>
          <w:szCs w:val="24"/>
          <w:highlight w:val="none"/>
        </w:rPr>
        <w:t xml:space="preserve">                       </w:t>
      </w:r>
    </w:p>
    <w:p>
      <w:pPr>
        <w:spacing w:line="360" w:lineRule="auto"/>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为贯彻“安全第一、预防为主、综合管理“的方针，保障作业人员生命安全和身体健康，杜绝各类安全事故的发生，根据《中华人民共和国安全生产法》等相关法律法规，经双方商定，达成如下协议：</w:t>
      </w:r>
    </w:p>
    <w:p>
      <w:pPr>
        <w:pStyle w:val="27"/>
        <w:spacing w:line="360" w:lineRule="auto"/>
        <w:ind w:left="0" w:leftChars="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一、乙方是项目工作（承包）单位，是项目安全责任主体单位，对乙方工作人员在履行项目合同义务时发生的安全、环保事故（事件）负责，并依法承担</w:t>
      </w:r>
      <w:r>
        <w:rPr>
          <w:rFonts w:hint="eastAsia" w:ascii="方正仿宋_GBK" w:hAnsi="方正仿宋_GBK" w:eastAsia="方正仿宋_GBK" w:cs="方正仿宋_GBK"/>
          <w:color w:val="auto"/>
          <w:kern w:val="0"/>
          <w:sz w:val="24"/>
          <w:szCs w:val="24"/>
          <w:highlight w:val="none"/>
        </w:rPr>
        <w:t>法律</w:t>
      </w:r>
      <w:r>
        <w:rPr>
          <w:rFonts w:hint="eastAsia" w:ascii="方正仿宋_GBK" w:hAnsi="方正仿宋_GBK" w:eastAsia="方正仿宋_GBK" w:cs="方正仿宋_GBK"/>
          <w:color w:val="auto"/>
          <w:sz w:val="24"/>
          <w:szCs w:val="24"/>
          <w:highlight w:val="none"/>
        </w:rPr>
        <w:t>责任和经济责任。</w:t>
      </w:r>
    </w:p>
    <w:p>
      <w:pPr>
        <w:pStyle w:val="27"/>
        <w:spacing w:line="360" w:lineRule="auto"/>
        <w:ind w:left="0" w:leftChars="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二、乙方应按国家相关法律法规规定提取和使用安全生产费用，依法为其相关工作人员提供劳动防护用品，并监督、教育其正确佩戴和使用。</w:t>
      </w:r>
    </w:p>
    <w:p>
      <w:pPr>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三、乙方应按国家相关法律法规规定依法为其工作人员交纳工伤保险费用、购买职工社会保险，对乙方工作人员在工作中发生的安全、环保事故（事件）的事故处置全权负责，并承担事故处置的所有费用。</w:t>
      </w:r>
    </w:p>
    <w:p>
      <w:pPr>
        <w:pStyle w:val="62"/>
        <w:spacing w:line="360" w:lineRule="auto"/>
        <w:ind w:firstLine="480" w:firstLineChars="200"/>
        <w:jc w:val="both"/>
        <w:rPr>
          <w:rFonts w:hint="eastAsia" w:ascii="方正仿宋_GBK" w:hAnsi="方正仿宋_GBK" w:eastAsia="方正仿宋_GBK" w:cs="方正仿宋_GBK"/>
          <w:color w:val="auto"/>
          <w:kern w:val="2"/>
          <w:highlight w:val="none"/>
        </w:rPr>
      </w:pPr>
      <w:r>
        <w:rPr>
          <w:rFonts w:hint="eastAsia" w:ascii="方正仿宋_GBK" w:hAnsi="方正仿宋_GBK" w:eastAsia="方正仿宋_GBK" w:cs="方正仿宋_GBK"/>
          <w:color w:val="auto"/>
          <w:kern w:val="2"/>
          <w:highlight w:val="none"/>
        </w:rPr>
        <w:t>四、乙方应依法设置安全生产管理机构，并配备安全生产管理人员，应在作业现场设置专项安全管理人员，负责对作业现场人员安全作业情况进行监督检查和管理。</w:t>
      </w:r>
    </w:p>
    <w:p>
      <w:pPr>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五、乙方应建立安全生产责任制及符合作业实际情况的各项规章制度、操作规程及综合（专项）应急救援预案，并定期组织工作人员进行安全教育培训和应急预案演练。</w:t>
      </w:r>
    </w:p>
    <w:p>
      <w:pPr>
        <w:overflowPunct w:val="0"/>
        <w:spacing w:line="360" w:lineRule="auto"/>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六、乙方应每日组织对现场安全作业情况进行隐患排查，定期对作业现场进行危险源辨识、分析，对重大危险源制定防控措施并实施跟踪监控，及时消除事故隐患，避免安全、环保等各类事故发生。因乙方作业防护措施不力造成的一切损失，由乙方承担。</w:t>
      </w:r>
    </w:p>
    <w:p>
      <w:pPr>
        <w:pStyle w:val="62"/>
        <w:spacing w:line="360" w:lineRule="auto"/>
        <w:ind w:firstLine="480" w:firstLineChars="200"/>
        <w:jc w:val="both"/>
        <w:rPr>
          <w:rFonts w:hint="eastAsia" w:ascii="方正仿宋_GBK" w:hAnsi="方正仿宋_GBK" w:eastAsia="方正仿宋_GBK" w:cs="方正仿宋_GBK"/>
          <w:color w:val="auto"/>
          <w:kern w:val="2"/>
          <w:highlight w:val="none"/>
        </w:rPr>
      </w:pPr>
      <w:r>
        <w:rPr>
          <w:rFonts w:hint="eastAsia" w:ascii="方正仿宋_GBK" w:hAnsi="方正仿宋_GBK" w:eastAsia="方正仿宋_GBK" w:cs="方正仿宋_GBK"/>
          <w:color w:val="auto"/>
          <w:kern w:val="2"/>
          <w:highlight w:val="none"/>
        </w:rPr>
        <w:t>七、乙方工作人员应严格按照甲方及乙方制定的相关安全管理规定或操作规程，确保现场工作人员安全规范作业，若因违反管理规定或操作规程等行为而发生</w:t>
      </w:r>
      <w:r>
        <w:rPr>
          <w:rFonts w:hint="eastAsia" w:ascii="方正仿宋_GBK" w:hAnsi="方正仿宋_GBK" w:eastAsia="方正仿宋_GBK" w:cs="方正仿宋_GBK"/>
          <w:color w:val="auto"/>
          <w:highlight w:val="none"/>
        </w:rPr>
        <w:t>安全、环保事故（事件），乙方应承担事故（事件）全部法律责任和经济责任。</w:t>
      </w:r>
    </w:p>
    <w:p>
      <w:pPr>
        <w:pStyle w:val="62"/>
        <w:tabs>
          <w:tab w:val="left" w:pos="0"/>
        </w:tabs>
        <w:spacing w:line="360" w:lineRule="auto"/>
        <w:ind w:firstLine="480" w:firstLineChars="200"/>
        <w:jc w:val="both"/>
        <w:rPr>
          <w:rFonts w:hint="eastAsia" w:ascii="方正仿宋_GBK" w:hAnsi="方正仿宋_GBK" w:eastAsia="方正仿宋_GBK" w:cs="方正仿宋_GBK"/>
          <w:color w:val="auto"/>
          <w:kern w:val="2"/>
          <w:highlight w:val="none"/>
        </w:rPr>
      </w:pPr>
      <w:r>
        <w:rPr>
          <w:rFonts w:hint="eastAsia" w:ascii="方正仿宋_GBK" w:hAnsi="方正仿宋_GBK" w:eastAsia="方正仿宋_GBK" w:cs="方正仿宋_GBK"/>
          <w:color w:val="auto"/>
          <w:kern w:val="2"/>
          <w:highlight w:val="none"/>
        </w:rPr>
        <w:t>八、甲方提供的电源、水源，应符合国家的标准规定。乙方使用甲方的电气及线路，必须遵守国家及政府电力管理部门的规定和要求，必须规范防范措施和监护措施。</w:t>
      </w:r>
    </w:p>
    <w:p>
      <w:pPr>
        <w:pStyle w:val="62"/>
        <w:tabs>
          <w:tab w:val="left" w:pos="0"/>
        </w:tabs>
        <w:spacing w:line="360" w:lineRule="auto"/>
        <w:ind w:firstLine="480" w:firstLineChars="200"/>
        <w:jc w:val="both"/>
        <w:rPr>
          <w:rFonts w:hint="eastAsia" w:ascii="方正仿宋_GBK" w:hAnsi="方正仿宋_GBK" w:eastAsia="方正仿宋_GBK" w:cs="方正仿宋_GBK"/>
          <w:color w:val="auto"/>
          <w:kern w:val="2"/>
          <w:highlight w:val="none"/>
        </w:rPr>
      </w:pPr>
      <w:r>
        <w:rPr>
          <w:rFonts w:hint="eastAsia" w:ascii="方正仿宋_GBK" w:hAnsi="方正仿宋_GBK" w:eastAsia="方正仿宋_GBK" w:cs="方正仿宋_GBK"/>
          <w:color w:val="auto"/>
          <w:kern w:val="2"/>
          <w:highlight w:val="none"/>
        </w:rPr>
        <w:t>九、乙方在甲方工作区域中进行明火作业、高空作业，需提前向甲方申请，得到甲方许可并办理《作业证》后方可进行作业，否则，甲方有权停止乙方的作业，对于造成的一切责任及损失由乙方承担。</w:t>
      </w:r>
    </w:p>
    <w:p>
      <w:pPr>
        <w:tabs>
          <w:tab w:val="left" w:pos="0"/>
        </w:tabs>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十、乙方应确保安排至甲方作业场所的工作人员应符合国家相关规定，具备相应资质，否则造成的一切事故责任及损失全部由乙方承担。</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十一、当因乙方原因发生安全事故时，乙方应及时开展事故抢险救援并及时向甲方报告情况，应妥善做好事故善后处置，并承担事故法律责任及事故所有费用。</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十二、乙方需要甲方配合相关安全管理工作时，需提前提出配合需求，甲方应根据国家相关规定为乙方提供帮助。</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十三、甲方现场安全人员随时对乙方工作现场安全进行监督、检查，工作中如因乙方违反了国家或甲方相关规定，甲方有权立即停止乙方的作业。</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十四、除上述安全责任外，乙方仍应承担法律、法规、规章规定的其他安全生产责任。</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十五、甲方现场安全责任人：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，联系电话分别为：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；乙方现场安全责任人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，联系电话：</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十六、本合同一式贰份，甲方执壹份，乙方执壹份，双方签字盖章生效后，具同等法律效力。</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甲方（盖章）：                      乙方（盖章）：</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法定代表人（签字）：                法定代表人（签字）：</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或委托代理人（签字）：               或委托代理人（签字）：</w:t>
      </w:r>
    </w:p>
    <w:p>
      <w:pPr>
        <w:tabs>
          <w:tab w:val="left" w:pos="0"/>
        </w:tabs>
        <w:overflowPunct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                         年   月   日</w:t>
      </w:r>
    </w:p>
    <w:p>
      <w:pPr>
        <w:pStyle w:val="7"/>
        <w:spacing w:line="360" w:lineRule="auto"/>
        <w:rPr>
          <w:rFonts w:hint="eastAsia" w:ascii="方正仿宋_GBK" w:hAnsi="方正仿宋_GBK" w:eastAsia="方正仿宋_GBK" w:cs="方正仿宋_GBK"/>
          <w:color w:val="auto"/>
          <w:highlight w:val="none"/>
        </w:rPr>
        <w:sectPr>
          <w:headerReference r:id="rId7" w:type="default"/>
          <w:footerReference r:id="rId8" w:type="default"/>
          <w:pgSz w:w="11905" w:h="16838"/>
          <w:pgMar w:top="1440" w:right="1083" w:bottom="1440" w:left="1083" w:header="851" w:footer="964" w:gutter="0"/>
          <w:pgNumType w:fmt="numberInDash"/>
          <w:cols w:space="0" w:num="1"/>
          <w:docGrid w:linePitch="312" w:charSpace="0"/>
        </w:sectPr>
      </w:pPr>
    </w:p>
    <w:p>
      <w:pPr>
        <w:pStyle w:val="4"/>
        <w:keepLines/>
        <w:spacing w:before="240" w:after="120" w:line="360" w:lineRule="auto"/>
        <w:jc w:val="left"/>
        <w:rPr>
          <w:rFonts w:hint="eastAsia" w:ascii="方正仿宋_GBK" w:hAnsi="方正仿宋_GBK" w:eastAsia="方正仿宋_GBK" w:cs="方正仿宋_GBK"/>
          <w:b/>
          <w:color w:val="auto"/>
          <w:sz w:val="32"/>
          <w:szCs w:val="32"/>
          <w:highlight w:val="none"/>
        </w:rPr>
      </w:pPr>
      <w:bookmarkStart w:id="47" w:name="_Toc32088"/>
      <w:bookmarkStart w:id="48" w:name="_Toc20308"/>
      <w:bookmarkStart w:id="49" w:name="_Toc110005774"/>
      <w:r>
        <w:rPr>
          <w:rFonts w:hint="eastAsia" w:ascii="方正仿宋_GBK" w:hAnsi="方正仿宋_GBK" w:eastAsia="方正仿宋_GBK" w:cs="方正仿宋_GBK"/>
          <w:b/>
          <w:color w:val="auto"/>
          <w:sz w:val="32"/>
          <w:szCs w:val="32"/>
          <w:highlight w:val="none"/>
          <w:lang w:eastAsia="zh-CN"/>
        </w:rPr>
        <w:t>附件</w:t>
      </w:r>
      <w:r>
        <w:rPr>
          <w:rFonts w:hint="eastAsia" w:ascii="方正仿宋_GBK" w:hAnsi="方正仿宋_GBK" w:eastAsia="方正仿宋_GBK" w:cs="方正仿宋_GBK"/>
          <w:b/>
          <w:color w:val="auto"/>
          <w:sz w:val="32"/>
          <w:szCs w:val="32"/>
          <w:highlight w:val="none"/>
          <w:lang w:val="en-US" w:eastAsia="zh-CN"/>
        </w:rPr>
        <w:t>2</w:t>
      </w:r>
      <w:r>
        <w:rPr>
          <w:rFonts w:hint="eastAsia" w:ascii="方正仿宋_GBK" w:hAnsi="方正仿宋_GBK" w:eastAsia="方正仿宋_GBK" w:cs="方正仿宋_GBK"/>
          <w:b/>
          <w:color w:val="auto"/>
          <w:sz w:val="32"/>
          <w:szCs w:val="32"/>
          <w:highlight w:val="none"/>
        </w:rPr>
        <w:t xml:space="preserve"> 工程量清单</w:t>
      </w:r>
      <w:bookmarkEnd w:id="45"/>
      <w:bookmarkEnd w:id="46"/>
      <w:bookmarkEnd w:id="47"/>
      <w:bookmarkEnd w:id="48"/>
      <w:bookmarkEnd w:id="49"/>
      <w:bookmarkStart w:id="50" w:name="_Toc110005775"/>
    </w:p>
    <w:tbl>
      <w:tblPr>
        <w:tblStyle w:val="47"/>
        <w:tblW w:w="5000" w:type="pct"/>
        <w:tblInd w:w="0" w:type="dxa"/>
        <w:tblLayout w:type="autofit"/>
        <w:tblCellMar>
          <w:top w:w="0" w:type="dxa"/>
          <w:left w:w="108" w:type="dxa"/>
          <w:bottom w:w="0" w:type="dxa"/>
          <w:right w:w="108" w:type="dxa"/>
        </w:tblCellMar>
      </w:tblPr>
      <w:tblGrid>
        <w:gridCol w:w="703"/>
        <w:gridCol w:w="2188"/>
        <w:gridCol w:w="3020"/>
        <w:gridCol w:w="1246"/>
        <w:gridCol w:w="1209"/>
        <w:gridCol w:w="1589"/>
      </w:tblGrid>
      <w:tr>
        <w:tblPrEx>
          <w:tblCellMar>
            <w:top w:w="0" w:type="dxa"/>
            <w:left w:w="108" w:type="dxa"/>
            <w:bottom w:w="0" w:type="dxa"/>
            <w:right w:w="108" w:type="dxa"/>
          </w:tblCellMar>
        </w:tblPrEx>
        <w:trPr>
          <w:trHeight w:val="520" w:hRule="atLeast"/>
        </w:trPr>
        <w:tc>
          <w:tcPr>
            <w:tcW w:w="5000" w:type="pct"/>
            <w:gridSpan w:val="6"/>
            <w:tcBorders>
              <w:top w:val="nil"/>
              <w:left w:val="nil"/>
              <w:bottom w:val="nil"/>
              <w:right w:val="nil"/>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 xml:space="preserve">项目名称：綦江区生活垃圾临时转运场地建设                                                                                                                                           </w:t>
            </w:r>
          </w:p>
        </w:tc>
      </w:tr>
      <w:tr>
        <w:tblPrEx>
          <w:tblCellMar>
            <w:top w:w="0" w:type="dxa"/>
            <w:left w:w="108" w:type="dxa"/>
            <w:bottom w:w="0" w:type="dxa"/>
            <w:right w:w="108" w:type="dxa"/>
          </w:tblCellMar>
        </w:tblPrEx>
        <w:trPr>
          <w:trHeight w:val="570" w:hRule="atLeast"/>
        </w:trPr>
        <w:tc>
          <w:tcPr>
            <w:tcW w:w="353" w:type="pct"/>
            <w:tcBorders>
              <w:top w:val="single" w:color="000000" w:sz="8" w:space="0"/>
              <w:left w:val="single" w:color="000000" w:sz="8" w:space="0"/>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序号</w:t>
            </w:r>
          </w:p>
        </w:tc>
        <w:tc>
          <w:tcPr>
            <w:tcW w:w="1099" w:type="pct"/>
            <w:tcBorders>
              <w:top w:val="single" w:color="000000" w:sz="8" w:space="0"/>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工程或费用名称</w:t>
            </w:r>
          </w:p>
        </w:tc>
        <w:tc>
          <w:tcPr>
            <w:tcW w:w="1517" w:type="pct"/>
            <w:tcBorders>
              <w:top w:val="single" w:color="000000" w:sz="8" w:space="0"/>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施工作业内容</w:t>
            </w:r>
          </w:p>
        </w:tc>
        <w:tc>
          <w:tcPr>
            <w:tcW w:w="626"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计量单位</w:t>
            </w:r>
          </w:p>
        </w:tc>
        <w:tc>
          <w:tcPr>
            <w:tcW w:w="60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工程量</w:t>
            </w:r>
          </w:p>
        </w:tc>
        <w:tc>
          <w:tcPr>
            <w:tcW w:w="798" w:type="pct"/>
            <w:tcBorders>
              <w:top w:val="single" w:color="000000" w:sz="8" w:space="0"/>
              <w:left w:val="nil"/>
              <w:bottom w:val="nil"/>
              <w:right w:val="single" w:color="000000" w:sz="8" w:space="0"/>
            </w:tcBorders>
            <w:shd w:val="clear" w:color="auto" w:fill="auto"/>
            <w:noWrap/>
            <w:vAlign w:val="center"/>
          </w:tcPr>
          <w:p>
            <w:pPr>
              <w:widowControl/>
              <w:spacing w:line="360" w:lineRule="auto"/>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备注</w:t>
            </w:r>
          </w:p>
        </w:tc>
      </w:tr>
      <w:tr>
        <w:tblPrEx>
          <w:tblCellMar>
            <w:top w:w="0" w:type="dxa"/>
            <w:left w:w="108" w:type="dxa"/>
            <w:bottom w:w="0" w:type="dxa"/>
            <w:right w:w="108" w:type="dxa"/>
          </w:tblCellMar>
        </w:tblPrEx>
        <w:trPr>
          <w:trHeight w:val="2715" w:hRule="atLeast"/>
        </w:trPr>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10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进场入口平土石方</w:t>
            </w:r>
          </w:p>
        </w:tc>
        <w:tc>
          <w:tcPr>
            <w:tcW w:w="151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7"/>
                <w:rFonts w:hint="eastAsia" w:ascii="方正仿宋_GBK" w:hAnsi="方正仿宋_GBK" w:eastAsia="方正仿宋_GBK" w:cs="方正仿宋_GBK"/>
                <w:color w:val="auto"/>
                <w:sz w:val="21"/>
                <w:szCs w:val="21"/>
                <w:highlight w:val="none"/>
                <w:lang w:bidi="ar"/>
              </w:rPr>
              <w:t>[项目特征]</w:t>
            </w:r>
            <w:r>
              <w:rPr>
                <w:rStyle w:val="329"/>
                <w:rFonts w:hint="eastAsia" w:ascii="方正仿宋_GBK" w:hAnsi="方正仿宋_GBK" w:eastAsia="方正仿宋_GBK" w:cs="方正仿宋_GBK"/>
                <w:color w:val="auto"/>
                <w:sz w:val="21"/>
                <w:szCs w:val="21"/>
                <w:highlight w:val="none"/>
                <w:lang w:bidi="ar"/>
              </w:rPr>
              <w:br w:type="textWrapping"/>
            </w:r>
            <w:r>
              <w:rPr>
                <w:rStyle w:val="329"/>
                <w:rFonts w:hint="eastAsia" w:ascii="方正仿宋_GBK" w:hAnsi="方正仿宋_GBK" w:eastAsia="方正仿宋_GBK" w:cs="方正仿宋_GBK"/>
                <w:color w:val="auto"/>
                <w:sz w:val="21"/>
                <w:szCs w:val="21"/>
                <w:highlight w:val="none"/>
                <w:lang w:bidi="ar"/>
              </w:rPr>
              <w:t xml:space="preserve">1.土壤内别：综合       2.开挖方式：综合       3.挖土深度：2m           4.运距及渣场费：投标人自行综合考虑      </w:t>
            </w:r>
            <w:r>
              <w:rPr>
                <w:rStyle w:val="329"/>
                <w:rFonts w:hint="eastAsia" w:ascii="方正仿宋_GBK" w:hAnsi="方正仿宋_GBK" w:eastAsia="方正仿宋_GBK" w:cs="方正仿宋_GBK"/>
                <w:color w:val="auto"/>
                <w:sz w:val="21"/>
                <w:szCs w:val="21"/>
                <w:highlight w:val="none"/>
                <w:lang w:bidi="ar"/>
              </w:rPr>
              <w:br w:type="textWrapping"/>
            </w:r>
            <w:r>
              <w:rPr>
                <w:rStyle w:val="77"/>
                <w:rFonts w:hint="eastAsia" w:ascii="方正仿宋_GBK" w:hAnsi="方正仿宋_GBK" w:eastAsia="方正仿宋_GBK" w:cs="方正仿宋_GBK"/>
                <w:color w:val="auto"/>
                <w:sz w:val="21"/>
                <w:szCs w:val="21"/>
                <w:highlight w:val="none"/>
                <w:lang w:bidi="ar"/>
              </w:rPr>
              <w:t>[工作内容]</w:t>
            </w:r>
            <w:r>
              <w:rPr>
                <w:rStyle w:val="329"/>
                <w:rFonts w:hint="eastAsia" w:ascii="方正仿宋_GBK" w:hAnsi="方正仿宋_GBK" w:eastAsia="方正仿宋_GBK" w:cs="方正仿宋_GBK"/>
                <w:color w:val="auto"/>
                <w:sz w:val="21"/>
                <w:szCs w:val="21"/>
                <w:highlight w:val="none"/>
                <w:lang w:bidi="ar"/>
              </w:rPr>
              <w:br w:type="textWrapping"/>
            </w:r>
            <w:r>
              <w:rPr>
                <w:rStyle w:val="329"/>
                <w:rFonts w:hint="eastAsia" w:ascii="方正仿宋_GBK" w:hAnsi="方正仿宋_GBK" w:eastAsia="方正仿宋_GBK" w:cs="方正仿宋_GBK"/>
                <w:color w:val="auto"/>
                <w:sz w:val="21"/>
                <w:szCs w:val="21"/>
                <w:highlight w:val="none"/>
                <w:lang w:bidi="ar"/>
              </w:rPr>
              <w:t>1.土方开挖</w:t>
            </w:r>
            <w:r>
              <w:rPr>
                <w:rStyle w:val="329"/>
                <w:rFonts w:hint="eastAsia" w:ascii="方正仿宋_GBK" w:hAnsi="方正仿宋_GBK" w:eastAsia="方正仿宋_GBK" w:cs="方正仿宋_GBK"/>
                <w:color w:val="auto"/>
                <w:sz w:val="21"/>
                <w:szCs w:val="21"/>
                <w:highlight w:val="none"/>
                <w:lang w:bidi="ar"/>
              </w:rPr>
              <w:br w:type="textWrapping"/>
            </w:r>
            <w:r>
              <w:rPr>
                <w:rStyle w:val="329"/>
                <w:rFonts w:hint="eastAsia" w:ascii="方正仿宋_GBK" w:hAnsi="方正仿宋_GBK" w:eastAsia="方正仿宋_GBK" w:cs="方正仿宋_GBK"/>
                <w:color w:val="auto"/>
                <w:sz w:val="21"/>
                <w:szCs w:val="21"/>
                <w:highlight w:val="none"/>
                <w:lang w:bidi="ar"/>
              </w:rPr>
              <w:t xml:space="preserve">2.入口加宽                              3.出渣及渣场费   </w:t>
            </w:r>
          </w:p>
        </w:tc>
        <w:tc>
          <w:tcPr>
            <w:tcW w:w="626"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立方</w:t>
            </w:r>
          </w:p>
        </w:tc>
        <w:tc>
          <w:tcPr>
            <w:tcW w:w="607"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100</w:t>
            </w:r>
          </w:p>
        </w:tc>
        <w:tc>
          <w:tcPr>
            <w:tcW w:w="79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土石方2米高</w:t>
            </w:r>
          </w:p>
        </w:tc>
      </w:tr>
      <w:tr>
        <w:tblPrEx>
          <w:tblCellMar>
            <w:top w:w="0" w:type="dxa"/>
            <w:left w:w="108" w:type="dxa"/>
            <w:bottom w:w="0" w:type="dxa"/>
            <w:right w:w="108" w:type="dxa"/>
          </w:tblCellMar>
        </w:tblPrEx>
        <w:trPr>
          <w:trHeight w:val="1695" w:hRule="atLeast"/>
        </w:trPr>
        <w:tc>
          <w:tcPr>
            <w:tcW w:w="353"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2</w:t>
            </w:r>
          </w:p>
        </w:tc>
        <w:tc>
          <w:tcPr>
            <w:tcW w:w="1099"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简易门禁</w:t>
            </w:r>
          </w:p>
        </w:tc>
        <w:tc>
          <w:tcPr>
            <w:tcW w:w="1517" w:type="pct"/>
            <w:tcBorders>
              <w:top w:val="nil"/>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t xml:space="preserve">                             1.   砖品种、强度等级:标准砖                                           2. 不锈钢管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砌筑支柱                                             2. 安装翻转不锈钢管    </w:t>
            </w:r>
          </w:p>
        </w:tc>
        <w:tc>
          <w:tcPr>
            <w:tcW w:w="626"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套</w:t>
            </w:r>
          </w:p>
        </w:tc>
        <w:tc>
          <w:tcPr>
            <w:tcW w:w="607"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798"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水泥立柱、活动杆、1.2米高</w:t>
            </w:r>
          </w:p>
        </w:tc>
      </w:tr>
      <w:tr>
        <w:tblPrEx>
          <w:tblCellMar>
            <w:top w:w="0" w:type="dxa"/>
            <w:left w:w="108" w:type="dxa"/>
            <w:bottom w:w="0" w:type="dxa"/>
            <w:right w:w="108" w:type="dxa"/>
          </w:tblCellMar>
        </w:tblPrEx>
        <w:trPr>
          <w:trHeight w:val="3615" w:hRule="atLeast"/>
        </w:trPr>
        <w:tc>
          <w:tcPr>
            <w:tcW w:w="353" w:type="pct"/>
            <w:tcBorders>
              <w:top w:val="nil"/>
              <w:left w:val="single" w:color="000000" w:sz="8" w:space="0"/>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3</w:t>
            </w:r>
          </w:p>
        </w:tc>
        <w:tc>
          <w:tcPr>
            <w:tcW w:w="1099" w:type="pct"/>
            <w:tcBorders>
              <w:top w:val="nil"/>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蓄水池</w:t>
            </w:r>
          </w:p>
        </w:tc>
        <w:tc>
          <w:tcPr>
            <w:tcW w:w="1517" w:type="pct"/>
            <w:tcBorders>
              <w:top w:val="nil"/>
              <w:left w:val="nil"/>
              <w:bottom w:val="nil"/>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2.砂浆强度等级:M7.5       3.规格：3m*2m*1.5m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1.砂浆制作、运输</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2.铺设垫层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3.底板混凝土制作、运输、浇筑、振捣、养护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4.砌砖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5.刮缝</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6.池底、壁抹灰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7.抹防潮层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 xml:space="preserve">8.材料运输           </w:t>
            </w:r>
          </w:p>
        </w:tc>
        <w:tc>
          <w:tcPr>
            <w:tcW w:w="626" w:type="pct"/>
            <w:tcBorders>
              <w:top w:val="nil"/>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个</w:t>
            </w:r>
          </w:p>
        </w:tc>
        <w:tc>
          <w:tcPr>
            <w:tcW w:w="607" w:type="pct"/>
            <w:tcBorders>
              <w:top w:val="nil"/>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798" w:type="pct"/>
            <w:tcBorders>
              <w:top w:val="nil"/>
              <w:left w:val="nil"/>
              <w:bottom w:val="nil"/>
              <w:right w:val="single" w:color="000000" w:sz="8" w:space="0"/>
            </w:tcBorders>
            <w:shd w:val="clear" w:color="auto" w:fill="auto"/>
            <w:noWrap/>
            <w:vAlign w:val="center"/>
          </w:tcPr>
          <w:p>
            <w:pPr>
              <w:widowControl/>
              <w:spacing w:line="360" w:lineRule="auto"/>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4095" w:hRule="atLeast"/>
        </w:trPr>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4</w:t>
            </w:r>
          </w:p>
        </w:tc>
        <w:tc>
          <w:tcPr>
            <w:tcW w:w="1099"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砖混污水池</w:t>
            </w:r>
          </w:p>
        </w:tc>
        <w:tc>
          <w:tcPr>
            <w:tcW w:w="151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2.砂浆强度等级:M7.5       3.规格：6m*4m*1.8m+2m*4m*1.8m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1.砂浆制作、运输</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2.铺设垫层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3.底板混凝土制作、运输、浇筑、振捣、养护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4.砌砖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5.刮缝</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6.池底、壁抹灰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7.抹防潮层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 xml:space="preserve">8.材料运输           </w:t>
            </w:r>
          </w:p>
        </w:tc>
        <w:tc>
          <w:tcPr>
            <w:tcW w:w="626"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个</w:t>
            </w:r>
          </w:p>
        </w:tc>
        <w:tc>
          <w:tcPr>
            <w:tcW w:w="60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798" w:type="pct"/>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1935" w:hRule="atLeast"/>
        </w:trPr>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5</w:t>
            </w:r>
          </w:p>
        </w:tc>
        <w:tc>
          <w:tcPr>
            <w:tcW w:w="1099"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钢架棚</w:t>
            </w:r>
          </w:p>
        </w:tc>
        <w:tc>
          <w:tcPr>
            <w:tcW w:w="151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 xml:space="preserve">[项目特征]    </w:t>
            </w:r>
            <w:r>
              <w:rPr>
                <w:rStyle w:val="332"/>
                <w:rFonts w:hint="eastAsia" w:ascii="方正仿宋_GBK" w:hAnsi="方正仿宋_GBK" w:eastAsia="方正仿宋_GBK" w:cs="方正仿宋_GBK"/>
                <w:color w:val="auto"/>
                <w:sz w:val="21"/>
                <w:szCs w:val="21"/>
                <w:highlight w:val="none"/>
                <w:lang w:bidi="ar"/>
              </w:rPr>
              <w:t xml:space="preserve">                         1. 160立柱                                             2. 树脂瓦盖                                  3.规格：15m*10m*7m+9m*5m*7m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安装立柱，焊接框架                                             2. 搭棚     </w:t>
            </w:r>
          </w:p>
        </w:tc>
        <w:tc>
          <w:tcPr>
            <w:tcW w:w="626"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平方</w:t>
            </w:r>
          </w:p>
        </w:tc>
        <w:tc>
          <w:tcPr>
            <w:tcW w:w="60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195</w:t>
            </w:r>
          </w:p>
        </w:tc>
        <w:tc>
          <w:tcPr>
            <w:tcW w:w="798"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钢管立柱、钢屋架、树脂瓦</w:t>
            </w:r>
          </w:p>
        </w:tc>
      </w:tr>
      <w:tr>
        <w:tblPrEx>
          <w:tblCellMar>
            <w:top w:w="0" w:type="dxa"/>
            <w:left w:w="108" w:type="dxa"/>
            <w:bottom w:w="0" w:type="dxa"/>
            <w:right w:w="108" w:type="dxa"/>
          </w:tblCellMar>
        </w:tblPrEx>
        <w:trPr>
          <w:trHeight w:val="2040" w:hRule="atLeast"/>
        </w:trPr>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6</w:t>
            </w:r>
          </w:p>
        </w:tc>
        <w:tc>
          <w:tcPr>
            <w:tcW w:w="1099"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板房搭建</w:t>
            </w:r>
          </w:p>
        </w:tc>
        <w:tc>
          <w:tcPr>
            <w:tcW w:w="151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 xml:space="preserve">[项目特征]   </w:t>
            </w:r>
            <w:r>
              <w:rPr>
                <w:rStyle w:val="332"/>
                <w:rFonts w:hint="eastAsia" w:ascii="方正仿宋_GBK" w:hAnsi="方正仿宋_GBK" w:eastAsia="方正仿宋_GBK" w:cs="方正仿宋_GBK"/>
                <w:color w:val="auto"/>
                <w:sz w:val="21"/>
                <w:szCs w:val="21"/>
                <w:highlight w:val="none"/>
                <w:lang w:bidi="ar"/>
              </w:rPr>
              <w:t xml:space="preserve">                          1. 角架                                           2. 夹芯板                                  3. 浇筑地梁                                  4.规格：13m*3m*2.8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焊接框架                                            2. 组装板房  </w:t>
            </w:r>
          </w:p>
        </w:tc>
        <w:tc>
          <w:tcPr>
            <w:tcW w:w="626"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间</w:t>
            </w:r>
          </w:p>
        </w:tc>
        <w:tc>
          <w:tcPr>
            <w:tcW w:w="60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2</w:t>
            </w:r>
          </w:p>
        </w:tc>
        <w:tc>
          <w:tcPr>
            <w:tcW w:w="798"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含搭建、材料、人工以及板房地面硬化等</w:t>
            </w:r>
          </w:p>
        </w:tc>
      </w:tr>
      <w:tr>
        <w:tblPrEx>
          <w:tblCellMar>
            <w:top w:w="0" w:type="dxa"/>
            <w:left w:w="108" w:type="dxa"/>
            <w:bottom w:w="0" w:type="dxa"/>
            <w:right w:w="108" w:type="dxa"/>
          </w:tblCellMar>
        </w:tblPrEx>
        <w:trPr>
          <w:trHeight w:val="2175" w:hRule="atLeast"/>
        </w:trPr>
        <w:tc>
          <w:tcPr>
            <w:tcW w:w="353"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7</w:t>
            </w:r>
          </w:p>
        </w:tc>
        <w:tc>
          <w:tcPr>
            <w:tcW w:w="1099"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厕  所</w:t>
            </w:r>
          </w:p>
        </w:tc>
        <w:tc>
          <w:tcPr>
            <w:tcW w:w="1517" w:type="pct"/>
            <w:tcBorders>
              <w:top w:val="nil"/>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[项目特征]                             1. 角架                                           2. 夹芯板                                  3. 浇筑地梁                                         4.规格：3m*2m*2.8                                  [工作内容]                                    1. 焊接框架                                            2. 组装板房                                    3.安装蹲便器 </w:t>
            </w:r>
          </w:p>
        </w:tc>
        <w:tc>
          <w:tcPr>
            <w:tcW w:w="626"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间</w:t>
            </w:r>
          </w:p>
        </w:tc>
        <w:tc>
          <w:tcPr>
            <w:tcW w:w="607"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798" w:type="pct"/>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1780" w:hRule="atLeast"/>
        </w:trPr>
        <w:tc>
          <w:tcPr>
            <w:tcW w:w="353"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8</w:t>
            </w:r>
          </w:p>
        </w:tc>
        <w:tc>
          <w:tcPr>
            <w:tcW w:w="1099"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水、电、杂工、临设</w:t>
            </w:r>
          </w:p>
        </w:tc>
        <w:tc>
          <w:tcPr>
            <w:tcW w:w="1517" w:type="pct"/>
            <w:tcBorders>
              <w:top w:val="nil"/>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 xml:space="preserve">[项目特征] </w:t>
            </w:r>
            <w:r>
              <w:rPr>
                <w:rStyle w:val="332"/>
                <w:rFonts w:hint="eastAsia" w:ascii="方正仿宋_GBK" w:hAnsi="方正仿宋_GBK" w:eastAsia="方正仿宋_GBK" w:cs="方正仿宋_GBK"/>
                <w:color w:val="auto"/>
                <w:sz w:val="21"/>
                <w:szCs w:val="21"/>
                <w:highlight w:val="none"/>
                <w:lang w:bidi="ar"/>
              </w:rPr>
              <w:t xml:space="preserve">                            1. 模版、人工                                             2.  线、管、工具等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支座模版                                             2. 安装水电等   </w:t>
            </w:r>
          </w:p>
        </w:tc>
        <w:tc>
          <w:tcPr>
            <w:tcW w:w="626"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项</w:t>
            </w:r>
          </w:p>
        </w:tc>
        <w:tc>
          <w:tcPr>
            <w:tcW w:w="607"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798" w:type="pct"/>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含场内水电搭设、材料、人工等</w:t>
            </w:r>
          </w:p>
        </w:tc>
      </w:tr>
      <w:tr>
        <w:tblPrEx>
          <w:tblCellMar>
            <w:top w:w="0" w:type="dxa"/>
            <w:left w:w="108" w:type="dxa"/>
            <w:bottom w:w="0" w:type="dxa"/>
            <w:right w:w="108" w:type="dxa"/>
          </w:tblCellMar>
        </w:tblPrEx>
        <w:trPr>
          <w:trHeight w:val="3615" w:hRule="atLeast"/>
        </w:trPr>
        <w:tc>
          <w:tcPr>
            <w:tcW w:w="353" w:type="pct"/>
            <w:tcBorders>
              <w:top w:val="nil"/>
              <w:left w:val="single" w:color="000000" w:sz="8" w:space="0"/>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9</w:t>
            </w:r>
          </w:p>
        </w:tc>
        <w:tc>
          <w:tcPr>
            <w:tcW w:w="1099" w:type="pct"/>
            <w:tcBorders>
              <w:top w:val="nil"/>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砼水沟、盖板</w:t>
            </w:r>
          </w:p>
        </w:tc>
        <w:tc>
          <w:tcPr>
            <w:tcW w:w="1517" w:type="pct"/>
            <w:tcBorders>
              <w:top w:val="nil"/>
              <w:left w:val="nil"/>
              <w:bottom w:val="nil"/>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2.混凝土强度等级:C15</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3.砂浆强度等级:M7.5       4.规格：0.3M*0.4M*40m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1.土方挖、运、填</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2.铺设垫层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3.底板混凝土制作、运输、浇筑、振捣、养护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4.砌砖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5.刮缝、抹灰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6.材料运输                        7.沟盖板（复合板）</w:t>
            </w:r>
          </w:p>
        </w:tc>
        <w:tc>
          <w:tcPr>
            <w:tcW w:w="626" w:type="pct"/>
            <w:tcBorders>
              <w:top w:val="nil"/>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米</w:t>
            </w:r>
          </w:p>
        </w:tc>
        <w:tc>
          <w:tcPr>
            <w:tcW w:w="607" w:type="pct"/>
            <w:tcBorders>
              <w:top w:val="nil"/>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40</w:t>
            </w:r>
          </w:p>
        </w:tc>
        <w:tc>
          <w:tcPr>
            <w:tcW w:w="798" w:type="pct"/>
            <w:tcBorders>
              <w:top w:val="nil"/>
              <w:left w:val="nil"/>
              <w:bottom w:val="nil"/>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含水沟浇筑，水箅子安装</w:t>
            </w:r>
          </w:p>
        </w:tc>
      </w:tr>
      <w:tr>
        <w:tblPrEx>
          <w:tblCellMar>
            <w:top w:w="0" w:type="dxa"/>
            <w:left w:w="108" w:type="dxa"/>
            <w:bottom w:w="0" w:type="dxa"/>
            <w:right w:w="108" w:type="dxa"/>
          </w:tblCellMar>
        </w:tblPrEx>
        <w:trPr>
          <w:trHeight w:val="2415" w:hRule="atLeast"/>
        </w:trPr>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10</w:t>
            </w:r>
          </w:p>
        </w:tc>
        <w:tc>
          <w:tcPr>
            <w:tcW w:w="1099"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砖砌挡水墙</w:t>
            </w:r>
          </w:p>
        </w:tc>
        <w:tc>
          <w:tcPr>
            <w:tcW w:w="151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2..砂浆强度等级:M7.5       3.规格：12M*0.0.5M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2.刮缝、抹灰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 xml:space="preserve">3.材料运输                                 4.养护                  </w:t>
            </w:r>
          </w:p>
        </w:tc>
        <w:tc>
          <w:tcPr>
            <w:tcW w:w="626"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项</w:t>
            </w:r>
          </w:p>
        </w:tc>
        <w:tc>
          <w:tcPr>
            <w:tcW w:w="60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798" w:type="pct"/>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2415" w:hRule="atLeast"/>
        </w:trPr>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11</w:t>
            </w:r>
          </w:p>
        </w:tc>
        <w:tc>
          <w:tcPr>
            <w:tcW w:w="1099"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场地硬化</w:t>
            </w:r>
          </w:p>
        </w:tc>
        <w:tc>
          <w:tcPr>
            <w:tcW w:w="151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1.混凝土强度等级:200mmC30商品混凝土  2.厚度：20cm                    3.规格：63m*4.5m+15m*10m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1.模板制作、安装、拆除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2.混凝土拌和、运输、浇筑</w:t>
            </w:r>
          </w:p>
        </w:tc>
        <w:tc>
          <w:tcPr>
            <w:tcW w:w="626"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平方</w:t>
            </w:r>
          </w:p>
        </w:tc>
        <w:tc>
          <w:tcPr>
            <w:tcW w:w="60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433.5</w:t>
            </w:r>
          </w:p>
        </w:tc>
        <w:tc>
          <w:tcPr>
            <w:tcW w:w="798" w:type="pct"/>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1780" w:hRule="atLeast"/>
        </w:trPr>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12</w:t>
            </w:r>
          </w:p>
        </w:tc>
        <w:tc>
          <w:tcPr>
            <w:tcW w:w="1099"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钢围栏</w:t>
            </w:r>
          </w:p>
        </w:tc>
        <w:tc>
          <w:tcPr>
            <w:tcW w:w="151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 xml:space="preserve">[项目特征]  </w:t>
            </w:r>
            <w:r>
              <w:rPr>
                <w:rStyle w:val="332"/>
                <w:rFonts w:hint="eastAsia" w:ascii="方正仿宋_GBK" w:hAnsi="方正仿宋_GBK" w:eastAsia="方正仿宋_GBK" w:cs="方正仿宋_GBK"/>
                <w:color w:val="auto"/>
                <w:sz w:val="21"/>
                <w:szCs w:val="21"/>
                <w:highlight w:val="none"/>
                <w:lang w:bidi="ar"/>
              </w:rPr>
              <w:t xml:space="preserve">                           1.  1.8不锈钢立柱                                            2.  不锈钢条                                        3.规格：16M*2M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焊接不锈钢防护架                                            2.   安装成型  </w:t>
            </w:r>
          </w:p>
        </w:tc>
        <w:tc>
          <w:tcPr>
            <w:tcW w:w="626"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项</w:t>
            </w:r>
          </w:p>
        </w:tc>
        <w:tc>
          <w:tcPr>
            <w:tcW w:w="607" w:type="pct"/>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16</w:t>
            </w:r>
          </w:p>
        </w:tc>
        <w:tc>
          <w:tcPr>
            <w:tcW w:w="798" w:type="pct"/>
            <w:tcBorders>
              <w:top w:val="single" w:color="000000" w:sz="8" w:space="0"/>
              <w:left w:val="nil"/>
              <w:bottom w:val="single" w:color="000000" w:sz="8" w:space="0"/>
              <w:right w:val="single" w:color="000000" w:sz="8" w:space="0"/>
            </w:tcBorders>
            <w:shd w:val="clear" w:color="auto" w:fill="auto"/>
            <w:noWrap/>
            <w:vAlign w:val="center"/>
          </w:tcPr>
          <w:p>
            <w:pPr>
              <w:widowControl/>
              <w:spacing w:line="360" w:lineRule="auto"/>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831" w:hRule="atLeast"/>
        </w:trPr>
        <w:tc>
          <w:tcPr>
            <w:tcW w:w="353"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13</w:t>
            </w:r>
          </w:p>
        </w:tc>
        <w:tc>
          <w:tcPr>
            <w:tcW w:w="1099" w:type="pc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制作修车地沟</w:t>
            </w:r>
          </w:p>
        </w:tc>
        <w:tc>
          <w:tcPr>
            <w:tcW w:w="1517" w:type="pct"/>
            <w:tcBorders>
              <w:top w:val="nil"/>
              <w:left w:val="nil"/>
              <w:bottom w:val="single" w:color="000000" w:sz="8" w:space="0"/>
              <w:right w:val="single" w:color="000000" w:sz="8" w:space="0"/>
            </w:tcBorders>
            <w:shd w:val="clear" w:color="auto" w:fill="auto"/>
            <w:vAlign w:val="center"/>
          </w:tcPr>
          <w:p>
            <w:pPr>
              <w:widowControl/>
              <w:spacing w:line="240" w:lineRule="auto"/>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2.混凝土强度等级:C15</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3.砂浆强度等级:M7.5       4.规格：8M*1M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1.土方挖、运、填</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2.铺设垫层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3.底板混凝土制作、运输、浇筑、振捣、养护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4.砌砖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5.刮缝、抹灰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 xml:space="preserve">6.材料运输                        </w:t>
            </w:r>
          </w:p>
        </w:tc>
        <w:tc>
          <w:tcPr>
            <w:tcW w:w="62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个</w:t>
            </w:r>
          </w:p>
        </w:tc>
        <w:tc>
          <w:tcPr>
            <w:tcW w:w="607" w:type="pc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798" w:type="pct"/>
            <w:tcBorders>
              <w:top w:val="nil"/>
              <w:left w:val="nil"/>
              <w:bottom w:val="single" w:color="000000" w:sz="8" w:space="0"/>
              <w:right w:val="single" w:color="000000" w:sz="8" w:space="0"/>
            </w:tcBorders>
            <w:shd w:val="clear" w:color="auto" w:fill="auto"/>
            <w:noWrap/>
            <w:vAlign w:val="center"/>
          </w:tcPr>
          <w:p>
            <w:pPr>
              <w:widowControl/>
              <w:spacing w:line="240" w:lineRule="auto"/>
              <w:jc w:val="center"/>
              <w:rPr>
                <w:rFonts w:hint="eastAsia" w:ascii="方正仿宋_GBK" w:hAnsi="方正仿宋_GBK" w:eastAsia="方正仿宋_GBK" w:cs="方正仿宋_GBK"/>
                <w:color w:val="auto"/>
                <w:sz w:val="21"/>
                <w:szCs w:val="21"/>
                <w:highlight w:val="none"/>
              </w:rPr>
            </w:pPr>
          </w:p>
        </w:tc>
      </w:tr>
    </w:tbl>
    <w:p>
      <w:pPr>
        <w:pStyle w:val="4"/>
        <w:keepLines/>
        <w:snapToGrid/>
        <w:spacing w:before="240" w:after="120" w:line="360" w:lineRule="auto"/>
        <w:jc w:val="both"/>
        <w:rPr>
          <w:rFonts w:cs="宋体" w:asciiTheme="minorEastAsia" w:hAnsiTheme="minorEastAsia" w:eastAsiaTheme="minorEastAsia"/>
          <w:b/>
          <w:color w:val="auto"/>
          <w:sz w:val="36"/>
          <w:szCs w:val="36"/>
          <w:highlight w:val="none"/>
        </w:rPr>
      </w:pPr>
    </w:p>
    <w:p>
      <w:pPr>
        <w:widowControl/>
        <w:jc w:val="left"/>
        <w:rPr>
          <w:rFonts w:cs="宋体" w:asciiTheme="minorEastAsia" w:hAnsiTheme="minorEastAsia" w:eastAsiaTheme="minorEastAsia"/>
          <w:b/>
          <w:color w:val="auto"/>
          <w:sz w:val="36"/>
          <w:szCs w:val="36"/>
          <w:highlight w:val="none"/>
        </w:rPr>
      </w:pPr>
      <w:r>
        <w:rPr>
          <w:rFonts w:cs="宋体" w:asciiTheme="minorEastAsia" w:hAnsiTheme="minorEastAsia" w:eastAsiaTheme="minorEastAsia"/>
          <w:b/>
          <w:color w:val="auto"/>
          <w:sz w:val="36"/>
          <w:szCs w:val="36"/>
          <w:highlight w:val="none"/>
        </w:rPr>
        <w:br w:type="page"/>
      </w:r>
    </w:p>
    <w:p>
      <w:pPr>
        <w:pStyle w:val="4"/>
        <w:keepLines/>
        <w:snapToGrid/>
        <w:spacing w:before="240" w:after="120" w:line="360" w:lineRule="auto"/>
        <w:jc w:val="left"/>
        <w:rPr>
          <w:rFonts w:hint="eastAsia" w:ascii="方正仿宋_GBK" w:hAnsi="方正仿宋_GBK" w:eastAsia="方正仿宋_GBK" w:cs="方正仿宋_GBK"/>
          <w:b/>
          <w:color w:val="auto"/>
          <w:sz w:val="32"/>
          <w:szCs w:val="32"/>
          <w:highlight w:val="none"/>
        </w:rPr>
      </w:pPr>
      <w:bookmarkStart w:id="51" w:name="_Toc7523"/>
      <w:bookmarkStart w:id="52" w:name="_Toc14803"/>
      <w:r>
        <w:rPr>
          <w:rFonts w:hint="eastAsia" w:ascii="方正仿宋_GBK" w:hAnsi="方正仿宋_GBK" w:eastAsia="方正仿宋_GBK" w:cs="方正仿宋_GBK"/>
          <w:b/>
          <w:color w:val="auto"/>
          <w:sz w:val="32"/>
          <w:szCs w:val="32"/>
          <w:highlight w:val="none"/>
          <w:lang w:eastAsia="zh-CN"/>
        </w:rPr>
        <w:t>附件</w:t>
      </w:r>
      <w:r>
        <w:rPr>
          <w:rFonts w:hint="eastAsia" w:ascii="方正仿宋_GBK" w:hAnsi="方正仿宋_GBK" w:eastAsia="方正仿宋_GBK" w:cs="方正仿宋_GBK"/>
          <w:b/>
          <w:color w:val="auto"/>
          <w:sz w:val="32"/>
          <w:szCs w:val="32"/>
          <w:highlight w:val="none"/>
          <w:lang w:val="en-US" w:eastAsia="zh-CN"/>
        </w:rPr>
        <w:t>3</w:t>
      </w:r>
      <w:r>
        <w:rPr>
          <w:rFonts w:hint="eastAsia" w:ascii="方正仿宋_GBK" w:hAnsi="方正仿宋_GBK" w:eastAsia="方正仿宋_GBK" w:cs="方正仿宋_GBK"/>
          <w:b/>
          <w:color w:val="auto"/>
          <w:sz w:val="32"/>
          <w:szCs w:val="32"/>
          <w:highlight w:val="none"/>
        </w:rPr>
        <w:t xml:space="preserve">  图纸</w:t>
      </w:r>
      <w:bookmarkEnd w:id="50"/>
      <w:bookmarkEnd w:id="51"/>
      <w:bookmarkEnd w:id="52"/>
    </w:p>
    <w:p>
      <w:pPr>
        <w:spacing w:line="360" w:lineRule="auto"/>
        <w:jc w:val="center"/>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见图纸电子文档，随</w:t>
      </w:r>
      <w:r>
        <w:rPr>
          <w:rFonts w:hint="eastAsia" w:ascii="方正仿宋_GBK" w:hAnsi="方正仿宋_GBK" w:eastAsia="方正仿宋_GBK" w:cs="方正仿宋_GBK"/>
          <w:bCs/>
          <w:color w:val="auto"/>
          <w:sz w:val="24"/>
          <w:szCs w:val="24"/>
          <w:highlight w:val="none"/>
          <w:lang w:eastAsia="zh-CN"/>
        </w:rPr>
        <w:t>采购公告</w:t>
      </w:r>
      <w:r>
        <w:rPr>
          <w:rFonts w:hint="eastAsia" w:ascii="方正仿宋_GBK" w:hAnsi="方正仿宋_GBK" w:eastAsia="方正仿宋_GBK" w:cs="方正仿宋_GBK"/>
          <w:bCs/>
          <w:color w:val="auto"/>
          <w:sz w:val="24"/>
          <w:szCs w:val="24"/>
          <w:highlight w:val="none"/>
        </w:rPr>
        <w:t>一同发布</w:t>
      </w:r>
    </w:p>
    <w:p>
      <w:pPr>
        <w:spacing w:line="360" w:lineRule="auto"/>
        <w:ind w:firstLine="482" w:firstLineChars="200"/>
        <w:rPr>
          <w:rFonts w:hint="eastAsia" w:ascii="方正仿宋_GBK" w:hAnsi="方正仿宋_GBK" w:eastAsia="方正仿宋_GBK" w:cs="方正仿宋_GBK"/>
          <w:b/>
          <w:color w:val="auto"/>
          <w:sz w:val="24"/>
          <w:szCs w:val="24"/>
          <w:highlight w:val="none"/>
          <w:u w:val="single"/>
        </w:rPr>
      </w:pPr>
    </w:p>
    <w:p>
      <w:pPr>
        <w:spacing w:line="360" w:lineRule="auto"/>
        <w:ind w:firstLine="422" w:firstLineChars="200"/>
        <w:rPr>
          <w:rFonts w:cs="宋体" w:asciiTheme="minorEastAsia" w:hAnsiTheme="minorEastAsia" w:eastAsiaTheme="minorEastAsia"/>
          <w:b/>
          <w:color w:val="auto"/>
          <w:sz w:val="21"/>
          <w:szCs w:val="21"/>
          <w:highlight w:val="none"/>
          <w:u w:val="single"/>
        </w:rPr>
      </w:pPr>
    </w:p>
    <w:p>
      <w:pPr>
        <w:spacing w:line="360" w:lineRule="auto"/>
        <w:ind w:firstLine="422" w:firstLineChars="200"/>
        <w:rPr>
          <w:rFonts w:cs="宋体" w:asciiTheme="minorEastAsia" w:hAnsiTheme="minorEastAsia" w:eastAsiaTheme="minorEastAsia"/>
          <w:b/>
          <w:color w:val="auto"/>
          <w:sz w:val="21"/>
          <w:szCs w:val="21"/>
          <w:highlight w:val="none"/>
          <w:u w:val="single"/>
        </w:rPr>
      </w:pPr>
    </w:p>
    <w:p>
      <w:pPr>
        <w:pStyle w:val="60"/>
        <w:spacing w:line="360" w:lineRule="auto"/>
        <w:ind w:left="0" w:firstLine="0"/>
        <w:rPr>
          <w:rFonts w:hint="eastAsia" w:ascii="方正仿宋_GBK" w:hAnsi="方正仿宋_GBK" w:eastAsia="方正仿宋_GBK" w:cs="方正仿宋_GBK"/>
          <w:color w:val="auto"/>
          <w:sz w:val="22"/>
          <w:szCs w:val="22"/>
          <w:highlight w:val="none"/>
        </w:rPr>
        <w:sectPr>
          <w:headerReference r:id="rId9" w:type="default"/>
          <w:footerReference r:id="rId10" w:type="default"/>
          <w:pgSz w:w="11905" w:h="16838"/>
          <w:pgMar w:top="1440" w:right="1083" w:bottom="1440" w:left="1083" w:header="851" w:footer="964" w:gutter="0"/>
          <w:pgNumType w:fmt="numberInDash"/>
          <w:cols w:space="0" w:num="1"/>
          <w:docGrid w:linePitch="312" w:charSpace="0"/>
        </w:sectPr>
      </w:pPr>
      <w:r>
        <w:rPr>
          <w:rFonts w:hint="eastAsia" w:cs="宋体" w:asciiTheme="minorEastAsia" w:hAnsiTheme="minorEastAsia" w:eastAsiaTheme="minorEastAsia"/>
          <w:color w:val="auto"/>
          <w:sz w:val="36"/>
          <w:szCs w:val="36"/>
          <w:highlight w:val="none"/>
        </w:rPr>
        <w:br w:type="page"/>
      </w:r>
      <w:bookmarkStart w:id="53" w:name="_Toc287607865"/>
      <w:bookmarkStart w:id="54" w:name="_Toc503873130"/>
    </w:p>
    <w:tbl>
      <w:tblPr>
        <w:tblStyle w:val="47"/>
        <w:tblW w:w="0" w:type="auto"/>
        <w:jc w:val="center"/>
        <w:tblCellSpacing w:w="0" w:type="dxa"/>
        <w:tblLayout w:type="fixed"/>
        <w:tblCellMar>
          <w:top w:w="0" w:type="dxa"/>
          <w:left w:w="0" w:type="dxa"/>
          <w:bottom w:w="0" w:type="dxa"/>
          <w:right w:w="0" w:type="dxa"/>
        </w:tblCellMar>
      </w:tblPr>
      <w:tblGrid>
        <w:gridCol w:w="9207"/>
      </w:tblGrid>
      <w:tr>
        <w:tblPrEx>
          <w:tblCellMar>
            <w:top w:w="0" w:type="dxa"/>
            <w:left w:w="0" w:type="dxa"/>
            <w:bottom w:w="0" w:type="dxa"/>
            <w:right w:w="0" w:type="dxa"/>
          </w:tblCellMar>
        </w:tblPrEx>
        <w:trPr>
          <w:trHeight w:val="13023" w:hRule="atLeast"/>
          <w:tblCellSpacing w:w="0" w:type="dxa"/>
          <w:jc w:val="center"/>
        </w:trPr>
        <w:tc>
          <w:tcPr>
            <w:tcW w:w="9207" w:type="dxa"/>
            <w:noWrap w:val="0"/>
            <w:vAlign w:val="center"/>
          </w:tcPr>
          <w:p>
            <w:pPr>
              <w:pStyle w:val="6"/>
              <w:pageBreakBefore w:val="0"/>
              <w:tabs>
                <w:tab w:val="left" w:pos="720"/>
              </w:tabs>
              <w:kinsoku/>
              <w:overflowPunct/>
              <w:topLinePunct w:val="0"/>
              <w:autoSpaceDE/>
              <w:autoSpaceDN/>
              <w:bidi w:val="0"/>
              <w:spacing w:line="400" w:lineRule="exact"/>
              <w:ind w:firstLine="482" w:firstLineChars="200"/>
              <w:rPr>
                <w:color w:val="auto"/>
                <w:highlight w:val="none"/>
              </w:rPr>
            </w:pPr>
            <w:bookmarkStart w:id="55" w:name="_Toc12571"/>
            <w:bookmarkStart w:id="56" w:name="_Toc110005777"/>
            <w:bookmarkStart w:id="57" w:name="_Toc6772"/>
          </w:p>
          <w:p>
            <w:pPr>
              <w:pageBreakBefore w:val="0"/>
              <w:kinsoku/>
              <w:wordWrap/>
              <w:overflowPunct/>
              <w:topLinePunct w:val="0"/>
              <w:autoSpaceDE/>
              <w:autoSpaceDN/>
              <w:bidi w:val="0"/>
              <w:adjustRightInd/>
              <w:spacing w:line="400" w:lineRule="exact"/>
              <w:ind w:firstLine="643" w:firstLineChars="200"/>
              <w:jc w:val="left"/>
              <w:textAlignment w:val="auto"/>
              <w:rPr>
                <w:rFonts w:ascii="宋体" w:hAnsi="宋体" w:cs="宋体"/>
                <w:bCs/>
                <w:color w:val="auto"/>
                <w:sz w:val="21"/>
                <w:szCs w:val="21"/>
                <w:highlight w:val="none"/>
              </w:rPr>
            </w:pPr>
            <w:r>
              <w:rPr>
                <w:rFonts w:hint="eastAsia" w:ascii="宋体" w:hAnsi="宋体" w:cs="宋体"/>
                <w:b/>
                <w:bCs/>
                <w:color w:val="auto"/>
                <w:sz w:val="32"/>
                <w:szCs w:val="32"/>
                <w:highlight w:val="none"/>
              </w:rPr>
              <w:t>项目名称：</w:t>
            </w:r>
            <w:r>
              <w:rPr>
                <w:rFonts w:ascii="宋体" w:hAnsi="宋体" w:cs="宋体"/>
                <w:bCs/>
                <w:color w:val="auto"/>
                <w:sz w:val="21"/>
                <w:szCs w:val="21"/>
                <w:highlight w:val="none"/>
              </w:rPr>
              <w:t xml:space="preserve"> </w:t>
            </w:r>
          </w:p>
          <w:p>
            <w:pPr>
              <w:pStyle w:val="2"/>
              <w:pageBreakBefore w:val="0"/>
              <w:kinsoku/>
              <w:wordWrap/>
              <w:overflowPunct/>
              <w:topLinePunct w:val="0"/>
              <w:autoSpaceDE/>
              <w:autoSpaceDN/>
              <w:bidi w:val="0"/>
              <w:adjustRightInd/>
              <w:spacing w:line="400" w:lineRule="exact"/>
              <w:ind w:firstLine="422" w:firstLineChars="200"/>
              <w:textAlignment w:val="auto"/>
              <w:rPr>
                <w:rFonts w:ascii="宋体" w:hAnsi="宋体" w:cs="宋体"/>
                <w:b/>
                <w:bCs/>
                <w:color w:val="auto"/>
                <w:sz w:val="21"/>
                <w:szCs w:val="21"/>
                <w:highlight w:val="none"/>
              </w:rPr>
            </w:pPr>
          </w:p>
          <w:p>
            <w:pPr>
              <w:pStyle w:val="2"/>
              <w:pageBreakBefore w:val="0"/>
              <w:kinsoku/>
              <w:wordWrap/>
              <w:overflowPunct/>
              <w:topLinePunct w:val="0"/>
              <w:autoSpaceDE/>
              <w:autoSpaceDN/>
              <w:bidi w:val="0"/>
              <w:adjustRightInd/>
              <w:spacing w:line="400" w:lineRule="exact"/>
              <w:ind w:firstLine="420" w:firstLineChars="200"/>
              <w:textAlignment w:val="auto"/>
              <w:rPr>
                <w:rStyle w:val="50"/>
                <w:rFonts w:ascii="宋体" w:hAnsi="宋体" w:cs="宋体"/>
                <w:b w:val="0"/>
                <w:color w:val="auto"/>
                <w:sz w:val="21"/>
                <w:szCs w:val="21"/>
                <w:highlight w:val="none"/>
              </w:rPr>
            </w:pPr>
          </w:p>
          <w:p>
            <w:pPr>
              <w:pStyle w:val="3"/>
              <w:pageBreakBefore w:val="0"/>
              <w:kinsoku/>
              <w:wordWrap/>
              <w:overflowPunct/>
              <w:topLinePunct w:val="0"/>
              <w:autoSpaceDE/>
              <w:autoSpaceDN/>
              <w:bidi w:val="0"/>
              <w:adjustRightInd/>
              <w:spacing w:line="400" w:lineRule="exact"/>
              <w:ind w:firstLine="420" w:firstLineChars="200"/>
              <w:textAlignment w:val="auto"/>
              <w:rPr>
                <w:rStyle w:val="50"/>
                <w:rFonts w:ascii="宋体" w:hAnsi="宋体" w:cs="宋体"/>
                <w:b w:val="0"/>
                <w:color w:val="auto"/>
                <w:sz w:val="21"/>
                <w:szCs w:val="21"/>
                <w:highlight w:val="none"/>
              </w:rPr>
            </w:pPr>
          </w:p>
          <w:p>
            <w:pPr>
              <w:pStyle w:val="3"/>
              <w:pageBreakBefore w:val="0"/>
              <w:kinsoku/>
              <w:wordWrap/>
              <w:overflowPunct/>
              <w:topLinePunct w:val="0"/>
              <w:autoSpaceDE/>
              <w:autoSpaceDN/>
              <w:bidi w:val="0"/>
              <w:adjustRightInd/>
              <w:spacing w:line="400" w:lineRule="exact"/>
              <w:ind w:firstLine="420" w:firstLineChars="200"/>
              <w:textAlignment w:val="auto"/>
              <w:rPr>
                <w:rStyle w:val="50"/>
                <w:rFonts w:ascii="宋体" w:hAnsi="宋体" w:cs="宋体"/>
                <w:b w:val="0"/>
                <w:color w:val="auto"/>
                <w:sz w:val="21"/>
                <w:szCs w:val="21"/>
                <w:highlight w:val="none"/>
              </w:rPr>
            </w:pPr>
          </w:p>
          <w:p>
            <w:pPr>
              <w:pageBreakBefore w:val="0"/>
              <w:kinsoku/>
              <w:wordWrap/>
              <w:overflowPunct/>
              <w:topLinePunct w:val="0"/>
              <w:autoSpaceDE/>
              <w:autoSpaceDN/>
              <w:bidi w:val="0"/>
              <w:adjustRightInd/>
              <w:spacing w:line="360" w:lineRule="auto"/>
              <w:ind w:firstLine="420" w:firstLineChars="200"/>
              <w:jc w:val="center"/>
              <w:textAlignment w:val="auto"/>
              <w:rPr>
                <w:rStyle w:val="50"/>
                <w:rFonts w:ascii="宋体" w:hAnsi="宋体" w:cs="宋体"/>
                <w:b w:val="0"/>
                <w:color w:val="auto"/>
                <w:sz w:val="21"/>
                <w:szCs w:val="21"/>
                <w:highlight w:val="none"/>
              </w:rPr>
            </w:pPr>
          </w:p>
          <w:p>
            <w:pPr>
              <w:pageBreakBefore w:val="0"/>
              <w:kinsoku/>
              <w:wordWrap/>
              <w:overflowPunct/>
              <w:topLinePunct w:val="0"/>
              <w:autoSpaceDE/>
              <w:autoSpaceDN/>
              <w:bidi w:val="0"/>
              <w:adjustRightInd/>
              <w:spacing w:line="360" w:lineRule="auto"/>
              <w:jc w:val="center"/>
              <w:textAlignment w:val="auto"/>
              <w:rPr>
                <w:rStyle w:val="50"/>
                <w:rFonts w:ascii="方正小标宋_GBK" w:hAnsi="方正小标宋_GBK" w:eastAsia="方正小标宋_GBK" w:cs="宋体"/>
                <w:b w:val="0"/>
                <w:color w:val="auto"/>
                <w:sz w:val="52"/>
                <w:szCs w:val="52"/>
                <w:highlight w:val="none"/>
              </w:rPr>
            </w:pPr>
            <w:r>
              <w:rPr>
                <w:rStyle w:val="50"/>
                <w:rFonts w:hint="eastAsia" w:ascii="方正小标宋_GBK" w:hAnsi="方正小标宋_GBK" w:eastAsia="方正小标宋_GBK" w:cs="宋体"/>
                <w:b w:val="0"/>
                <w:color w:val="auto"/>
                <w:sz w:val="52"/>
                <w:szCs w:val="52"/>
                <w:highlight w:val="none"/>
              </w:rPr>
              <w:t>响应文件</w:t>
            </w:r>
          </w:p>
          <w:p>
            <w:pPr>
              <w:pageBreakBefore w:val="0"/>
              <w:kinsoku/>
              <w:wordWrap/>
              <w:overflowPunct/>
              <w:topLinePunct w:val="0"/>
              <w:autoSpaceDE/>
              <w:autoSpaceDN/>
              <w:bidi w:val="0"/>
              <w:adjustRightInd/>
              <w:spacing w:line="400" w:lineRule="exact"/>
              <w:ind w:firstLine="420" w:firstLineChars="200"/>
              <w:jc w:val="center"/>
              <w:textAlignment w:val="auto"/>
              <w:rPr>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color w:val="auto"/>
                <w:sz w:val="21"/>
                <w:szCs w:val="21"/>
                <w:highlight w:val="none"/>
              </w:rPr>
            </w:pPr>
          </w:p>
          <w:p>
            <w:pPr>
              <w:pageBreakBefore w:val="0"/>
              <w:tabs>
                <w:tab w:val="left" w:pos="2383"/>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方正仿宋_GBK" w:cs="宋体"/>
                <w:color w:val="auto"/>
                <w:sz w:val="21"/>
                <w:szCs w:val="21"/>
                <w:highlight w:val="none"/>
                <w:lang w:eastAsia="zh-CN"/>
              </w:rPr>
            </w:pPr>
          </w:p>
          <w:p>
            <w:pPr>
              <w:pageBreakBefore w:val="0"/>
              <w:kinsoku/>
              <w:wordWrap/>
              <w:overflowPunct/>
              <w:topLinePunct w:val="0"/>
              <w:autoSpaceDE/>
              <w:autoSpaceDN/>
              <w:bidi w:val="0"/>
              <w:adjustRightInd/>
              <w:spacing w:line="400" w:lineRule="exact"/>
              <w:ind w:firstLine="420" w:firstLineChars="200"/>
              <w:jc w:val="center"/>
              <w:textAlignment w:val="auto"/>
              <w:rPr>
                <w:rFonts w:ascii="宋体" w:hAnsi="宋体" w:cs="宋体"/>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rFonts w:ascii="宋体" w:hAnsi="宋体" w:cs="宋体"/>
                <w:color w:val="auto"/>
                <w:sz w:val="21"/>
                <w:szCs w:val="21"/>
                <w:highlight w:val="none"/>
              </w:rPr>
            </w:pPr>
          </w:p>
          <w:p>
            <w:pPr>
              <w:pageBreakBefore w:val="0"/>
              <w:kinsoku/>
              <w:wordWrap/>
              <w:overflowPunct/>
              <w:topLinePunct w:val="0"/>
              <w:autoSpaceDE/>
              <w:autoSpaceDN/>
              <w:bidi w:val="0"/>
              <w:adjustRightInd/>
              <w:spacing w:line="400" w:lineRule="exact"/>
              <w:ind w:firstLine="420" w:firstLineChars="20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竞选人：</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pageBreakBefore w:val="0"/>
              <w:kinsoku/>
              <w:wordWrap/>
              <w:overflowPunct/>
              <w:topLinePunct w:val="0"/>
              <w:autoSpaceDE/>
              <w:autoSpaceDN/>
              <w:bidi w:val="0"/>
              <w:adjustRightInd/>
              <w:spacing w:line="400" w:lineRule="exact"/>
              <w:ind w:firstLine="420" w:firstLineChars="20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法定代表人或其委托代理人：__________(签字或签章)</w:t>
            </w:r>
          </w:p>
          <w:p>
            <w:pPr>
              <w:pageBreakBefore w:val="0"/>
              <w:kinsoku/>
              <w:wordWrap/>
              <w:overflowPunct/>
              <w:topLinePunct w:val="0"/>
              <w:autoSpaceDE/>
              <w:autoSpaceDN/>
              <w:bidi w:val="0"/>
              <w:adjustRightInd/>
              <w:spacing w:line="400" w:lineRule="exact"/>
              <w:ind w:firstLine="420" w:firstLineChars="200"/>
              <w:jc w:val="center"/>
              <w:textAlignment w:val="auto"/>
              <w:rPr>
                <w:rFonts w:ascii="宋体" w:hAnsi="宋体" w:cs="宋体"/>
                <w:color w:val="auto"/>
                <w:sz w:val="21"/>
                <w:szCs w:val="21"/>
                <w:highlight w:val="none"/>
              </w:rPr>
            </w:pPr>
            <w:r>
              <w:rPr>
                <w:rFonts w:ascii="宋体" w:hAnsi="宋体" w:cs="宋体"/>
                <w:color w:val="auto"/>
                <w:sz w:val="21"/>
                <w:szCs w:val="21"/>
                <w:highlight w:val="none"/>
                <w:u w:val="single"/>
              </w:rPr>
              <w:t xml:space="preserve">    </w:t>
            </w:r>
            <w:r>
              <w:rPr>
                <w:rFonts w:ascii="宋体" w:hAnsi="宋体" w:cs="宋体"/>
                <w:color w:val="auto"/>
                <w:sz w:val="21"/>
                <w:szCs w:val="21"/>
                <w:highlight w:val="none"/>
                <w:u w:val="none"/>
              </w:rPr>
              <w:t>年</w:t>
            </w:r>
            <w:r>
              <w:rPr>
                <w:rFonts w:ascii="宋体" w:hAnsi="宋体" w:cs="宋体"/>
                <w:color w:val="auto"/>
                <w:sz w:val="21"/>
                <w:szCs w:val="21"/>
                <w:highlight w:val="none"/>
                <w:u w:val="single"/>
              </w:rPr>
              <w:t xml:space="preserve">    </w:t>
            </w:r>
            <w:r>
              <w:rPr>
                <w:rFonts w:ascii="宋体" w:hAnsi="宋体" w:cs="宋体"/>
                <w:i w:val="0"/>
                <w:iCs w:val="0"/>
                <w:color w:val="auto"/>
                <w:sz w:val="21"/>
                <w:szCs w:val="21"/>
                <w:highlight w:val="none"/>
                <w:u w:val="none"/>
              </w:rPr>
              <w:t>月</w:t>
            </w:r>
            <w:r>
              <w:rPr>
                <w:rFonts w:ascii="宋体" w:hAnsi="宋体" w:cs="宋体"/>
                <w:color w:val="auto"/>
                <w:sz w:val="21"/>
                <w:szCs w:val="21"/>
                <w:highlight w:val="none"/>
                <w:u w:val="single"/>
              </w:rPr>
              <w:t xml:space="preserve">    </w:t>
            </w:r>
            <w:r>
              <w:rPr>
                <w:rFonts w:ascii="宋体" w:hAnsi="宋体" w:cs="宋体"/>
                <w:color w:val="auto"/>
                <w:sz w:val="21"/>
                <w:szCs w:val="21"/>
                <w:highlight w:val="none"/>
                <w:u w:val="none"/>
              </w:rPr>
              <w:t>日</w:t>
            </w:r>
          </w:p>
          <w:p>
            <w:pPr>
              <w:pageBreakBefore w:val="0"/>
              <w:kinsoku/>
              <w:wordWrap/>
              <w:overflowPunct/>
              <w:topLinePunct w:val="0"/>
              <w:autoSpaceDE/>
              <w:autoSpaceDN/>
              <w:bidi w:val="0"/>
              <w:adjustRightInd/>
              <w:spacing w:line="400" w:lineRule="exact"/>
              <w:ind w:firstLine="422" w:firstLineChars="20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不准提前启封</w:t>
            </w:r>
          </w:p>
        </w:tc>
      </w:tr>
    </w:tbl>
    <w:p>
      <w:pPr>
        <w:spacing w:line="360" w:lineRule="auto"/>
        <w:jc w:val="both"/>
        <w:outlineLvl w:val="0"/>
        <w:rPr>
          <w:rFonts w:hint="eastAsia" w:cs="宋体" w:asciiTheme="minorEastAsia" w:hAnsiTheme="minorEastAsia" w:eastAsiaTheme="minorEastAsia"/>
          <w:b/>
          <w:color w:val="auto"/>
          <w:kern w:val="44"/>
          <w:sz w:val="36"/>
          <w:szCs w:val="36"/>
          <w:highlight w:val="none"/>
        </w:rPr>
      </w:pPr>
    </w:p>
    <w:bookmarkEnd w:id="53"/>
    <w:bookmarkEnd w:id="54"/>
    <w:bookmarkEnd w:id="55"/>
    <w:bookmarkEnd w:id="56"/>
    <w:bookmarkEnd w:id="57"/>
    <w:p>
      <w:pPr>
        <w:pStyle w:val="2"/>
        <w:spacing w:line="360" w:lineRule="auto"/>
        <w:jc w:val="center"/>
        <w:rPr>
          <w:rFonts w:hint="eastAsia" w:ascii="方正小标宋_GBK" w:hAnsi="方正小标宋_GBK" w:eastAsia="方正小标宋_GBK" w:cs="方正小标宋_GBK"/>
          <w:sz w:val="28"/>
          <w:szCs w:val="28"/>
          <w:highlight w:val="none"/>
        </w:rPr>
      </w:pPr>
      <w:r>
        <w:rPr>
          <w:rFonts w:hint="eastAsia" w:ascii="方正小标宋_GBK" w:hAnsi="方正小标宋_GBK" w:eastAsia="方正小标宋_GBK" w:cs="方正小标宋_GBK"/>
          <w:sz w:val="28"/>
          <w:szCs w:val="28"/>
          <w:highlight w:val="none"/>
          <w:lang w:val="zh-CN"/>
        </w:rPr>
        <w:t>目录</w:t>
      </w:r>
    </w:p>
    <w:p>
      <w:pPr>
        <w:pStyle w:val="32"/>
        <w:tabs>
          <w:tab w:val="right" w:leader="dot" w:pos="9729"/>
          <w:tab w:val="clear" w:pos="1260"/>
          <w:tab w:val="clear" w:pos="1685"/>
          <w:tab w:val="clear" w:pos="8400"/>
        </w:tabs>
        <w:spacing w:line="360" w:lineRule="auto"/>
        <w:rPr>
          <w:rFonts w:hint="eastAsia" w:ascii="方正仿宋_GBK" w:hAnsi="方正仿宋_GBK" w:eastAsia="方正仿宋_GBK" w:cs="方正仿宋_GBK"/>
          <w:b w:val="0"/>
          <w:sz w:val="28"/>
          <w:szCs w:val="28"/>
          <w:highlight w:val="none"/>
        </w:rPr>
      </w:pPr>
      <w:r>
        <w:rPr>
          <w:rFonts w:hint="eastAsia" w:ascii="方正仿宋_GBK" w:hAnsi="方正仿宋_GBK" w:eastAsia="方正仿宋_GBK" w:cs="方正仿宋_GBK"/>
          <w:b w:val="0"/>
          <w:sz w:val="28"/>
          <w:szCs w:val="28"/>
          <w:highlight w:val="none"/>
        </w:rPr>
        <w:fldChar w:fldCharType="begin"/>
      </w:r>
      <w:r>
        <w:rPr>
          <w:rFonts w:hint="eastAsia" w:ascii="方正仿宋_GBK" w:hAnsi="方正仿宋_GBK" w:eastAsia="方正仿宋_GBK" w:cs="方正仿宋_GBK"/>
          <w:b w:val="0"/>
          <w:sz w:val="28"/>
          <w:szCs w:val="28"/>
          <w:highlight w:val="none"/>
        </w:rPr>
        <w:instrText xml:space="preserve"> TOC \o "1-2" \h \z \u </w:instrText>
      </w:r>
      <w:r>
        <w:rPr>
          <w:rFonts w:hint="eastAsia" w:ascii="方正仿宋_GBK" w:hAnsi="方正仿宋_GBK" w:eastAsia="方正仿宋_GBK" w:cs="方正仿宋_GBK"/>
          <w:b w:val="0"/>
          <w:sz w:val="28"/>
          <w:szCs w:val="28"/>
          <w:highlight w:val="none"/>
        </w:rPr>
        <w:fldChar w:fldCharType="separate"/>
      </w: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"_Toc95464838" </w:instrText>
      </w:r>
      <w:r>
        <w:rPr>
          <w:rFonts w:hint="eastAsia" w:ascii="方正仿宋_GBK" w:hAnsi="方正仿宋_GBK" w:eastAsia="方正仿宋_GBK" w:cs="方正仿宋_GBK"/>
          <w:b/>
          <w:bCs/>
          <w:sz w:val="28"/>
          <w:szCs w:val="28"/>
          <w:highlight w:val="none"/>
        </w:rPr>
        <w:fldChar w:fldCharType="separate"/>
      </w:r>
      <w:r>
        <w:rPr>
          <w:rStyle w:val="55"/>
          <w:rFonts w:hint="eastAsia" w:ascii="方正仿宋_GBK" w:hAnsi="方正仿宋_GBK" w:eastAsia="方正仿宋_GBK" w:cs="方正仿宋_GBK"/>
          <w:b/>
          <w:bCs/>
          <w:color w:val="auto"/>
          <w:sz w:val="28"/>
          <w:szCs w:val="28"/>
          <w:highlight w:val="none"/>
        </w:rPr>
        <w:t>一、经济文件</w:t>
      </w:r>
      <w:r>
        <w:rPr>
          <w:rFonts w:hint="eastAsia" w:ascii="方正仿宋_GBK" w:hAnsi="方正仿宋_GBK" w:eastAsia="方正仿宋_GBK" w:cs="方正仿宋_GBK"/>
          <w:b/>
          <w:bCs/>
          <w:sz w:val="28"/>
          <w:szCs w:val="28"/>
          <w:highlight w:val="none"/>
        </w:rPr>
        <w:tab/>
      </w:r>
      <w:r>
        <w:rPr>
          <w:rFonts w:hint="eastAsia" w:ascii="方正仿宋_GBK" w:hAnsi="方正仿宋_GBK" w:eastAsia="方正仿宋_GBK" w:cs="方正仿宋_GBK"/>
          <w:b/>
          <w:bCs/>
          <w:sz w:val="28"/>
          <w:szCs w:val="28"/>
          <w:highlight w:val="none"/>
        </w:rPr>
        <w:t>X</w:t>
      </w:r>
      <w:r>
        <w:rPr>
          <w:rFonts w:hint="eastAsia" w:ascii="方正仿宋_GBK" w:hAnsi="方正仿宋_GBK" w:eastAsia="方正仿宋_GBK" w:cs="方正仿宋_GBK"/>
          <w:b/>
          <w:bCs/>
          <w:sz w:val="28"/>
          <w:szCs w:val="28"/>
          <w:highlight w:val="none"/>
        </w:rPr>
        <w:fldChar w:fldCharType="end"/>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"_Toc95464839" </w:instrText>
      </w:r>
      <w:r>
        <w:rPr>
          <w:rFonts w:hint="eastAsia" w:ascii="方正仿宋_GBK" w:hAnsi="方正仿宋_GBK" w:eastAsia="方正仿宋_GBK" w:cs="方正仿宋_GBK"/>
          <w:sz w:val="28"/>
          <w:szCs w:val="28"/>
          <w:highlight w:val="none"/>
        </w:rPr>
        <w:fldChar w:fldCharType="separate"/>
      </w:r>
      <w:r>
        <w:rPr>
          <w:rStyle w:val="55"/>
          <w:rFonts w:hint="eastAsia" w:ascii="方正仿宋_GBK" w:hAnsi="方正仿宋_GBK" w:eastAsia="方正仿宋_GBK" w:cs="方正仿宋_GBK"/>
          <w:color w:val="auto"/>
          <w:sz w:val="28"/>
          <w:szCs w:val="28"/>
          <w:highlight w:val="none"/>
        </w:rPr>
        <w:t>（一）开标一览表</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X</w:t>
      </w:r>
      <w:r>
        <w:rPr>
          <w:rFonts w:hint="eastAsia" w:ascii="方正仿宋_GBK" w:hAnsi="方正仿宋_GBK" w:eastAsia="方正仿宋_GBK" w:cs="方正仿宋_GBK"/>
          <w:sz w:val="28"/>
          <w:szCs w:val="28"/>
          <w:highlight w:val="none"/>
        </w:rPr>
        <w:fldChar w:fldCharType="end"/>
      </w:r>
    </w:p>
    <w:p>
      <w:pPr>
        <w:pStyle w:val="32"/>
        <w:tabs>
          <w:tab w:val="right" w:leader="dot" w:pos="9729"/>
          <w:tab w:val="clear" w:pos="1260"/>
          <w:tab w:val="clear" w:pos="1685"/>
          <w:tab w:val="clear" w:pos="8400"/>
        </w:tabs>
        <w:spacing w:line="360" w:lineRule="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"_Toc95464838" </w:instrText>
      </w:r>
      <w:r>
        <w:rPr>
          <w:rFonts w:hint="eastAsia" w:ascii="方正仿宋_GBK" w:hAnsi="方正仿宋_GBK" w:eastAsia="方正仿宋_GBK" w:cs="方正仿宋_GBK"/>
          <w:b/>
          <w:bCs/>
          <w:sz w:val="28"/>
          <w:szCs w:val="28"/>
          <w:highlight w:val="none"/>
        </w:rPr>
        <w:fldChar w:fldCharType="separate"/>
      </w:r>
      <w:r>
        <w:rPr>
          <w:rStyle w:val="55"/>
          <w:rFonts w:hint="eastAsia" w:ascii="方正仿宋_GBK" w:hAnsi="方正仿宋_GBK" w:eastAsia="方正仿宋_GBK" w:cs="方正仿宋_GBK"/>
          <w:b/>
          <w:bCs/>
          <w:color w:val="auto"/>
          <w:sz w:val="28"/>
          <w:szCs w:val="28"/>
          <w:highlight w:val="none"/>
        </w:rPr>
        <w:t>二、资格文件</w:t>
      </w:r>
      <w:r>
        <w:rPr>
          <w:rFonts w:hint="eastAsia" w:ascii="方正仿宋_GBK" w:hAnsi="方正仿宋_GBK" w:eastAsia="方正仿宋_GBK" w:cs="方正仿宋_GBK"/>
          <w:b/>
          <w:bCs/>
          <w:sz w:val="28"/>
          <w:szCs w:val="28"/>
          <w:highlight w:val="none"/>
        </w:rPr>
        <w:tab/>
      </w:r>
      <w:r>
        <w:rPr>
          <w:rFonts w:hint="eastAsia" w:ascii="方正仿宋_GBK" w:hAnsi="方正仿宋_GBK" w:eastAsia="方正仿宋_GBK" w:cs="方正仿宋_GBK"/>
          <w:b/>
          <w:bCs/>
          <w:sz w:val="28"/>
          <w:szCs w:val="28"/>
          <w:highlight w:val="none"/>
        </w:rPr>
        <w:t>X</w:t>
      </w:r>
      <w:r>
        <w:rPr>
          <w:rFonts w:hint="eastAsia" w:ascii="方正仿宋_GBK" w:hAnsi="方正仿宋_GBK" w:eastAsia="方正仿宋_GBK" w:cs="方正仿宋_GBK"/>
          <w:b/>
          <w:bCs/>
          <w:sz w:val="28"/>
          <w:szCs w:val="28"/>
          <w:highlight w:val="none"/>
        </w:rPr>
        <w:fldChar w:fldCharType="end"/>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"_Toc95464839" </w:instrText>
      </w:r>
      <w:r>
        <w:rPr>
          <w:rFonts w:hint="eastAsia" w:ascii="方正仿宋_GBK" w:hAnsi="方正仿宋_GBK" w:eastAsia="方正仿宋_GBK" w:cs="方正仿宋_GBK"/>
          <w:sz w:val="28"/>
          <w:szCs w:val="28"/>
          <w:highlight w:val="none"/>
        </w:rPr>
        <w:fldChar w:fldCharType="separate"/>
      </w:r>
      <w:r>
        <w:rPr>
          <w:rStyle w:val="55"/>
          <w:rFonts w:hint="eastAsia" w:ascii="方正仿宋_GBK" w:hAnsi="方正仿宋_GBK" w:eastAsia="方正仿宋_GBK" w:cs="方正仿宋_GBK"/>
          <w:color w:val="auto"/>
          <w:sz w:val="28"/>
          <w:szCs w:val="28"/>
          <w:highlight w:val="none"/>
        </w:rPr>
        <w:t>（一）营业执照副本复印件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X</w:t>
      </w:r>
      <w:r>
        <w:rPr>
          <w:rFonts w:hint="eastAsia" w:ascii="方正仿宋_GBK" w:hAnsi="方正仿宋_GBK" w:eastAsia="方正仿宋_GBK" w:cs="方正仿宋_GBK"/>
          <w:sz w:val="28"/>
          <w:szCs w:val="28"/>
          <w:highlight w:val="none"/>
        </w:rPr>
        <w:fldChar w:fldCharType="end"/>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"_Toc95464840" </w:instrText>
      </w:r>
      <w:r>
        <w:rPr>
          <w:rFonts w:hint="eastAsia" w:ascii="方正仿宋_GBK" w:hAnsi="方正仿宋_GBK" w:eastAsia="方正仿宋_GBK" w:cs="方正仿宋_GBK"/>
          <w:sz w:val="28"/>
          <w:szCs w:val="28"/>
          <w:highlight w:val="none"/>
        </w:rPr>
        <w:fldChar w:fldCharType="separate"/>
      </w:r>
      <w:r>
        <w:rPr>
          <w:rStyle w:val="55"/>
          <w:rFonts w:hint="eastAsia" w:ascii="方正仿宋_GBK" w:hAnsi="方正仿宋_GBK" w:eastAsia="方正仿宋_GBK" w:cs="方正仿宋_GBK"/>
          <w:color w:val="auto"/>
          <w:sz w:val="28"/>
          <w:szCs w:val="28"/>
          <w:highlight w:val="none"/>
        </w:rPr>
        <w:t>（二）法定代表人身份证明书</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X</w:t>
      </w:r>
      <w:r>
        <w:rPr>
          <w:rFonts w:hint="eastAsia" w:ascii="方正仿宋_GBK" w:hAnsi="方正仿宋_GBK" w:eastAsia="方正仿宋_GBK" w:cs="方正仿宋_GBK"/>
          <w:sz w:val="28"/>
          <w:szCs w:val="28"/>
          <w:highlight w:val="none"/>
        </w:rPr>
        <w:fldChar w:fldCharType="end"/>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"_Toc95464841" </w:instrText>
      </w:r>
      <w:r>
        <w:rPr>
          <w:rFonts w:hint="eastAsia" w:ascii="方正仿宋_GBK" w:hAnsi="方正仿宋_GBK" w:eastAsia="方正仿宋_GBK" w:cs="方正仿宋_GBK"/>
          <w:sz w:val="28"/>
          <w:szCs w:val="28"/>
          <w:highlight w:val="none"/>
        </w:rPr>
        <w:fldChar w:fldCharType="separate"/>
      </w:r>
      <w:r>
        <w:rPr>
          <w:rStyle w:val="55"/>
          <w:rFonts w:hint="eastAsia" w:ascii="方正仿宋_GBK" w:hAnsi="方正仿宋_GBK" w:eastAsia="方正仿宋_GBK" w:cs="方正仿宋_GBK"/>
          <w:color w:val="auto"/>
          <w:sz w:val="28"/>
          <w:szCs w:val="28"/>
          <w:highlight w:val="none"/>
        </w:rPr>
        <w:t>（三）法定代表人授权委托书</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X</w:t>
      </w:r>
      <w:r>
        <w:rPr>
          <w:rFonts w:hint="eastAsia" w:ascii="方正仿宋_GBK" w:hAnsi="方正仿宋_GBK" w:eastAsia="方正仿宋_GBK" w:cs="方正仿宋_GBK"/>
          <w:sz w:val="28"/>
          <w:szCs w:val="28"/>
          <w:highlight w:val="none"/>
        </w:rPr>
        <w:fldChar w:fldCharType="end"/>
      </w:r>
    </w:p>
    <w:p>
      <w:pPr>
        <w:pStyle w:val="38"/>
        <w:tabs>
          <w:tab w:val="right" w:leader="dot" w:pos="9729"/>
        </w:tabs>
        <w:spacing w:line="360" w:lineRule="auto"/>
        <w:ind w:left="640"/>
        <w:rPr>
          <w:rStyle w:val="55"/>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"_Toc95464843" </w:instrText>
      </w:r>
      <w:r>
        <w:rPr>
          <w:rFonts w:hint="eastAsia" w:ascii="方正仿宋_GBK" w:hAnsi="方正仿宋_GBK" w:eastAsia="方正仿宋_GBK" w:cs="方正仿宋_GBK"/>
          <w:sz w:val="28"/>
          <w:szCs w:val="28"/>
          <w:highlight w:val="none"/>
        </w:rPr>
        <w:fldChar w:fldCharType="separate"/>
      </w:r>
      <w:r>
        <w:rPr>
          <w:rStyle w:val="55"/>
          <w:rFonts w:hint="eastAsia" w:ascii="方正仿宋_GBK" w:hAnsi="方正仿宋_GBK" w:eastAsia="方正仿宋_GBK" w:cs="方正仿宋_GBK"/>
          <w:color w:val="auto"/>
          <w:sz w:val="28"/>
          <w:szCs w:val="28"/>
          <w:highlight w:val="none"/>
        </w:rPr>
        <w:t>（四）诚信声明</w:t>
      </w:r>
      <w:r>
        <w:rPr>
          <w:rStyle w:val="55"/>
          <w:rFonts w:hint="eastAsia" w:ascii="方正仿宋_GBK" w:hAnsi="方正仿宋_GBK" w:eastAsia="方正仿宋_GBK" w:cs="方正仿宋_GBK"/>
          <w:color w:val="auto"/>
          <w:sz w:val="28"/>
          <w:szCs w:val="28"/>
          <w:highlight w:val="none"/>
        </w:rPr>
        <w:tab/>
      </w:r>
      <w:r>
        <w:rPr>
          <w:rStyle w:val="55"/>
          <w:rFonts w:hint="eastAsia" w:ascii="方正仿宋_GBK" w:hAnsi="方正仿宋_GBK" w:eastAsia="方正仿宋_GBK" w:cs="方正仿宋_GBK"/>
          <w:color w:val="auto"/>
          <w:sz w:val="28"/>
          <w:szCs w:val="28"/>
          <w:highlight w:val="none"/>
        </w:rPr>
        <w:t>X</w:t>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Style w:val="55"/>
          <w:rFonts w:hint="eastAsia" w:ascii="方正仿宋_GBK" w:hAnsi="方正仿宋_GBK" w:eastAsia="方正仿宋_GBK" w:cs="方正仿宋_GBK"/>
          <w:color w:val="auto"/>
          <w:sz w:val="28"/>
          <w:szCs w:val="28"/>
          <w:highlight w:val="none"/>
        </w:rPr>
        <w:t>（五）承诺书</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X</w:t>
      </w:r>
      <w:r>
        <w:rPr>
          <w:rFonts w:hint="eastAsia" w:ascii="方正仿宋_GBK" w:hAnsi="方正仿宋_GBK" w:eastAsia="方正仿宋_GBK" w:cs="方正仿宋_GBK"/>
          <w:sz w:val="28"/>
          <w:szCs w:val="28"/>
          <w:highlight w:val="none"/>
        </w:rPr>
        <w:fldChar w:fldCharType="end"/>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Style w:val="55"/>
          <w:rFonts w:hint="eastAsia" w:ascii="方正仿宋_GBK" w:hAnsi="方正仿宋_GBK" w:eastAsia="方正仿宋_GBK" w:cs="方正仿宋_GBK"/>
          <w:color w:val="auto"/>
          <w:sz w:val="28"/>
          <w:szCs w:val="28"/>
          <w:highlight w:val="none"/>
        </w:rPr>
        <w:t>（六）非联合体竞选声明</w:t>
      </w:r>
      <w:r>
        <w:rPr>
          <w:rStyle w:val="55"/>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sz w:val="28"/>
          <w:szCs w:val="28"/>
          <w:highlight w:val="none"/>
        </w:rPr>
        <w:t>X</w:t>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Style w:val="55"/>
          <w:rFonts w:hint="eastAsia" w:ascii="方正仿宋_GBK" w:hAnsi="方正仿宋_GBK" w:eastAsia="方正仿宋_GBK" w:cs="方正仿宋_GBK"/>
          <w:color w:val="auto"/>
          <w:sz w:val="28"/>
          <w:szCs w:val="28"/>
          <w:highlight w:val="none"/>
        </w:rPr>
        <w:t>（</w:t>
      </w:r>
      <w:r>
        <w:rPr>
          <w:rStyle w:val="55"/>
          <w:rFonts w:hint="eastAsia" w:ascii="方正仿宋_GBK" w:hAnsi="方正仿宋_GBK" w:eastAsia="方正仿宋_GBK" w:cs="方正仿宋_GBK"/>
          <w:color w:val="auto"/>
          <w:sz w:val="28"/>
          <w:szCs w:val="28"/>
          <w:highlight w:val="none"/>
          <w:lang w:eastAsia="zh-CN"/>
        </w:rPr>
        <w:t>七</w:t>
      </w:r>
      <w:r>
        <w:rPr>
          <w:rStyle w:val="55"/>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kern w:val="2"/>
          <w:sz w:val="28"/>
          <w:szCs w:val="28"/>
          <w:highlight w:val="none"/>
          <w:lang w:val="en-US" w:eastAsia="zh-CN" w:bidi="ar-SA"/>
        </w:rPr>
        <w:t>低价风险担保提交承诺书</w:t>
      </w:r>
      <w:r>
        <w:rPr>
          <w:rStyle w:val="55"/>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sz w:val="28"/>
          <w:szCs w:val="28"/>
          <w:highlight w:val="none"/>
        </w:rPr>
        <w:t>X</w:t>
      </w:r>
    </w:p>
    <w:p>
      <w:pPr>
        <w:pStyle w:val="32"/>
        <w:tabs>
          <w:tab w:val="right" w:leader="dot" w:pos="9729"/>
          <w:tab w:val="clear" w:pos="1260"/>
          <w:tab w:val="clear" w:pos="1685"/>
          <w:tab w:val="clear" w:pos="8400"/>
        </w:tabs>
        <w:spacing w:line="360" w:lineRule="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"_Toc95464851" </w:instrText>
      </w:r>
      <w:r>
        <w:rPr>
          <w:rFonts w:hint="eastAsia" w:ascii="方正仿宋_GBK" w:hAnsi="方正仿宋_GBK" w:eastAsia="方正仿宋_GBK" w:cs="方正仿宋_GBK"/>
          <w:b/>
          <w:bCs/>
          <w:sz w:val="28"/>
          <w:szCs w:val="28"/>
          <w:highlight w:val="none"/>
        </w:rPr>
        <w:fldChar w:fldCharType="separate"/>
      </w:r>
      <w:r>
        <w:rPr>
          <w:rStyle w:val="55"/>
          <w:rFonts w:hint="eastAsia" w:ascii="方正仿宋_GBK" w:hAnsi="方正仿宋_GBK" w:eastAsia="方正仿宋_GBK" w:cs="方正仿宋_GBK"/>
          <w:b/>
          <w:bCs/>
          <w:color w:val="auto"/>
          <w:sz w:val="28"/>
          <w:szCs w:val="28"/>
          <w:highlight w:val="none"/>
        </w:rPr>
        <w:t>三、技术文件（服务方案）</w:t>
      </w:r>
      <w:r>
        <w:rPr>
          <w:rFonts w:hint="eastAsia" w:ascii="方正仿宋_GBK" w:hAnsi="方正仿宋_GBK" w:eastAsia="方正仿宋_GBK" w:cs="方正仿宋_GBK"/>
          <w:b/>
          <w:bCs/>
          <w:sz w:val="28"/>
          <w:szCs w:val="28"/>
          <w:highlight w:val="none"/>
        </w:rPr>
        <w:tab/>
      </w:r>
      <w:r>
        <w:rPr>
          <w:rFonts w:hint="eastAsia" w:ascii="方正仿宋_GBK" w:hAnsi="方正仿宋_GBK" w:eastAsia="方正仿宋_GBK" w:cs="方正仿宋_GBK"/>
          <w:b/>
          <w:bCs/>
          <w:sz w:val="28"/>
          <w:szCs w:val="28"/>
          <w:highlight w:val="none"/>
        </w:rPr>
        <w:fldChar w:fldCharType="end"/>
      </w:r>
      <w:r>
        <w:rPr>
          <w:rFonts w:hint="eastAsia" w:ascii="方正仿宋_GBK" w:hAnsi="方正仿宋_GBK" w:eastAsia="方正仿宋_GBK" w:cs="方正仿宋_GBK"/>
          <w:b/>
          <w:bCs/>
          <w:sz w:val="28"/>
          <w:szCs w:val="28"/>
          <w:highlight w:val="none"/>
        </w:rPr>
        <w:t>X</w:t>
      </w:r>
    </w:p>
    <w:p>
      <w:pPr>
        <w:pStyle w:val="32"/>
        <w:tabs>
          <w:tab w:val="right" w:leader="dot" w:pos="9729"/>
          <w:tab w:val="clear" w:pos="1260"/>
          <w:tab w:val="clear" w:pos="1685"/>
          <w:tab w:val="clear" w:pos="8400"/>
        </w:tabs>
        <w:spacing w:line="360" w:lineRule="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"_Toc95464847" </w:instrText>
      </w:r>
      <w:r>
        <w:rPr>
          <w:rFonts w:hint="eastAsia" w:ascii="方正仿宋_GBK" w:hAnsi="方正仿宋_GBK" w:eastAsia="方正仿宋_GBK" w:cs="方正仿宋_GBK"/>
          <w:b/>
          <w:bCs/>
          <w:sz w:val="28"/>
          <w:szCs w:val="28"/>
          <w:highlight w:val="none"/>
        </w:rPr>
        <w:fldChar w:fldCharType="separate"/>
      </w:r>
      <w:r>
        <w:rPr>
          <w:rStyle w:val="55"/>
          <w:rFonts w:hint="eastAsia" w:ascii="方正仿宋_GBK" w:hAnsi="方正仿宋_GBK" w:eastAsia="方正仿宋_GBK" w:cs="方正仿宋_GBK"/>
          <w:b/>
          <w:bCs/>
          <w:color w:val="auto"/>
          <w:sz w:val="28"/>
          <w:szCs w:val="28"/>
          <w:highlight w:val="none"/>
        </w:rPr>
        <w:t>四、商务文件</w:t>
      </w:r>
      <w:r>
        <w:rPr>
          <w:rFonts w:hint="eastAsia" w:ascii="方正仿宋_GBK" w:hAnsi="方正仿宋_GBK" w:eastAsia="方正仿宋_GBK" w:cs="方正仿宋_GBK"/>
          <w:b/>
          <w:bCs/>
          <w:sz w:val="28"/>
          <w:szCs w:val="28"/>
          <w:highlight w:val="none"/>
        </w:rPr>
        <w:tab/>
      </w:r>
      <w:r>
        <w:rPr>
          <w:rFonts w:hint="eastAsia" w:ascii="方正仿宋_GBK" w:hAnsi="方正仿宋_GBK" w:eastAsia="方正仿宋_GBK" w:cs="方正仿宋_GBK"/>
          <w:b/>
          <w:bCs/>
          <w:sz w:val="28"/>
          <w:szCs w:val="28"/>
          <w:highlight w:val="none"/>
        </w:rPr>
        <w:t>X</w:t>
      </w:r>
      <w:r>
        <w:rPr>
          <w:rFonts w:hint="eastAsia" w:ascii="方正仿宋_GBK" w:hAnsi="方正仿宋_GBK" w:eastAsia="方正仿宋_GBK" w:cs="方正仿宋_GBK"/>
          <w:b/>
          <w:bCs/>
          <w:sz w:val="28"/>
          <w:szCs w:val="28"/>
          <w:highlight w:val="none"/>
        </w:rPr>
        <w:fldChar w:fldCharType="end"/>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"_Toc95464848"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（一）竞选函</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X</w:t>
      </w:r>
      <w:r>
        <w:rPr>
          <w:rFonts w:hint="eastAsia" w:ascii="方正仿宋_GBK" w:hAnsi="方正仿宋_GBK" w:eastAsia="方正仿宋_GBK" w:cs="方正仿宋_GBK"/>
          <w:sz w:val="28"/>
          <w:szCs w:val="28"/>
          <w:highlight w:val="none"/>
        </w:rPr>
        <w:fldChar w:fldCharType="end"/>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"_Toc95464849"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（二）竞选人基本情况</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X</w:t>
      </w:r>
      <w:r>
        <w:rPr>
          <w:rFonts w:hint="eastAsia" w:ascii="方正仿宋_GBK" w:hAnsi="方正仿宋_GBK" w:eastAsia="方正仿宋_GBK" w:cs="方正仿宋_GBK"/>
          <w:sz w:val="28"/>
          <w:szCs w:val="28"/>
          <w:highlight w:val="none"/>
        </w:rPr>
        <w:fldChar w:fldCharType="end"/>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"_Toc95464850"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（三）商务条款差异表</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X</w:t>
      </w:r>
      <w:r>
        <w:rPr>
          <w:rFonts w:hint="eastAsia" w:ascii="方正仿宋_GBK" w:hAnsi="方正仿宋_GBK" w:eastAsia="方正仿宋_GBK" w:cs="方正仿宋_GBK"/>
          <w:sz w:val="28"/>
          <w:szCs w:val="28"/>
          <w:highlight w:val="none"/>
        </w:rPr>
        <w:fldChar w:fldCharType="end"/>
      </w:r>
    </w:p>
    <w:p>
      <w:pPr>
        <w:ind w:firstLine="281" w:firstLineChars="100"/>
        <w:rPr>
          <w:rFonts w:hint="eastAsia" w:ascii="方正仿宋_GBK" w:hAnsi="方正仿宋_GBK" w:eastAsia="方正仿宋_GBK" w:cs="方正仿宋_GBK"/>
          <w:highlight w:val="none"/>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"_Toc95464851" </w:instrText>
      </w:r>
      <w:r>
        <w:rPr>
          <w:rFonts w:hint="eastAsia" w:ascii="方正仿宋_GBK" w:hAnsi="方正仿宋_GBK" w:eastAsia="方正仿宋_GBK" w:cs="方正仿宋_GBK"/>
          <w:b/>
          <w:bCs/>
          <w:sz w:val="28"/>
          <w:szCs w:val="28"/>
          <w:highlight w:val="none"/>
        </w:rPr>
        <w:fldChar w:fldCharType="separate"/>
      </w:r>
      <w:r>
        <w:rPr>
          <w:rStyle w:val="55"/>
          <w:rFonts w:hint="eastAsia" w:ascii="方正仿宋_GBK" w:hAnsi="方正仿宋_GBK" w:eastAsia="方正仿宋_GBK" w:cs="方正仿宋_GBK"/>
          <w:b/>
          <w:bCs/>
          <w:color w:val="auto"/>
          <w:sz w:val="28"/>
          <w:szCs w:val="28"/>
          <w:highlight w:val="none"/>
        </w:rPr>
        <w:t>五、其他</w:t>
      </w:r>
      <w:r>
        <w:rPr>
          <w:rFonts w:hint="eastAsia" w:ascii="方正仿宋_GBK" w:hAnsi="方正仿宋_GBK" w:eastAsia="方正仿宋_GBK" w:cs="方正仿宋_GBK"/>
          <w:b/>
          <w:bCs/>
          <w:sz w:val="28"/>
          <w:szCs w:val="28"/>
          <w:highlight w:val="none"/>
        </w:rPr>
        <w:tab/>
      </w:r>
      <w:r>
        <w:rPr>
          <w:rFonts w:hint="eastAsia" w:ascii="方正仿宋_GBK" w:hAnsi="方正仿宋_GBK" w:eastAsia="方正仿宋_GBK" w:cs="方正仿宋_GBK"/>
          <w:b/>
          <w:bCs/>
          <w:sz w:val="28"/>
          <w:szCs w:val="28"/>
          <w:highlight w:val="none"/>
        </w:rPr>
        <w:fldChar w:fldCharType="end"/>
      </w:r>
      <w:r>
        <w:rPr>
          <w:rFonts w:hint="eastAsia" w:ascii="方正仿宋_GBK" w:hAnsi="方正仿宋_GBK" w:eastAsia="方正仿宋_GBK" w:cs="方正仿宋_GBK"/>
          <w:b/>
          <w:bCs/>
          <w:sz w:val="28"/>
          <w:szCs w:val="28"/>
          <w:highlight w:val="none"/>
        </w:rPr>
        <w:t>…………………………………………………………………………</w:t>
      </w:r>
      <w:r>
        <w:rPr>
          <w:rFonts w:hint="eastAsia" w:ascii="方正仿宋_GBK" w:hAnsi="方正仿宋_GBK" w:eastAsia="方正仿宋_GBK" w:cs="方正仿宋_GBK"/>
          <w:sz w:val="28"/>
          <w:szCs w:val="28"/>
          <w:highlight w:val="none"/>
        </w:rPr>
        <w:t>X</w:t>
      </w:r>
    </w:p>
    <w:p>
      <w:pPr>
        <w:pStyle w:val="38"/>
        <w:tabs>
          <w:tab w:val="right" w:leader="dot" w:pos="9729"/>
        </w:tabs>
        <w:spacing w:line="360" w:lineRule="auto"/>
        <w:ind w:left="64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fldChar w:fldCharType="end"/>
      </w:r>
      <w:bookmarkStart w:id="58" w:name="_Toc12757"/>
      <w:bookmarkStart w:id="59" w:name="_Toc29357"/>
      <w:bookmarkStart w:id="60" w:name="_Toc7090"/>
    </w:p>
    <w:p>
      <w:pPr>
        <w:spacing w:line="360" w:lineRule="auto"/>
        <w:rPr>
          <w:rFonts w:hint="eastAsia" w:ascii="方正仿宋_GBK" w:hAnsi="方正仿宋_GBK" w:eastAsia="方正仿宋_GBK" w:cs="方正仿宋_GBK"/>
          <w:sz w:val="28"/>
          <w:szCs w:val="28"/>
          <w:highlight w:val="none"/>
        </w:rPr>
        <w:sectPr>
          <w:headerReference r:id="rId13" w:type="first"/>
          <w:footerReference r:id="rId16" w:type="first"/>
          <w:headerReference r:id="rId11" w:type="default"/>
          <w:footerReference r:id="rId14" w:type="default"/>
          <w:headerReference r:id="rId12" w:type="even"/>
          <w:footerReference r:id="rId15" w:type="even"/>
          <w:pgSz w:w="11905" w:h="16838"/>
          <w:pgMar w:top="1440" w:right="1083" w:bottom="1440" w:left="1083" w:header="964" w:footer="992" w:gutter="0"/>
          <w:pgNumType w:fmt="numberInDash"/>
          <w:cols w:space="720" w:num="1"/>
          <w:titlePg/>
          <w:docGrid w:linePitch="380" w:charSpace="0"/>
        </w:sectPr>
      </w:pPr>
    </w:p>
    <w:bookmarkEnd w:id="58"/>
    <w:bookmarkEnd w:id="59"/>
    <w:bookmarkEnd w:id="60"/>
    <w:p>
      <w:pPr>
        <w:snapToGrid w:val="0"/>
        <w:spacing w:line="360" w:lineRule="auto"/>
        <w:ind w:right="-59" w:rightChars="-21"/>
        <w:rPr>
          <w:rFonts w:hint="eastAsia" w:ascii="方正仿宋_GBK" w:hAnsi="方正仿宋_GBK" w:eastAsia="方正仿宋_GBK" w:cs="方正仿宋_GBK"/>
          <w:b/>
          <w:sz w:val="28"/>
          <w:szCs w:val="28"/>
          <w:highlight w:val="none"/>
        </w:rPr>
      </w:pPr>
      <w:bookmarkStart w:id="61" w:name="_Toc315941084"/>
      <w:bookmarkStart w:id="62" w:name="_Toc316375214"/>
      <w:bookmarkStart w:id="63" w:name="_Toc19255"/>
      <w:bookmarkStart w:id="64" w:name="_Toc297020926"/>
      <w:bookmarkStart w:id="65" w:name="_Toc441589333"/>
      <w:bookmarkStart w:id="66" w:name="_Toc17188"/>
      <w:bookmarkStart w:id="67" w:name="_Toc285722716"/>
      <w:bookmarkStart w:id="68" w:name="_Toc14107"/>
      <w:bookmarkStart w:id="69" w:name="_Toc277084874"/>
      <w:bookmarkStart w:id="70" w:name="_Toc10990"/>
      <w:bookmarkStart w:id="71" w:name="_Toc13789"/>
      <w:bookmarkStart w:id="72" w:name="_Toc25175"/>
      <w:bookmarkStart w:id="73" w:name="_Toc315942083"/>
      <w:bookmarkStart w:id="74" w:name="_Toc5079"/>
      <w:r>
        <w:rPr>
          <w:rFonts w:hint="eastAsia" w:ascii="方正仿宋_GBK" w:hAnsi="方正仿宋_GBK" w:eastAsia="方正仿宋_GBK" w:cs="方正仿宋_GBK"/>
          <w:b/>
          <w:sz w:val="28"/>
          <w:szCs w:val="28"/>
          <w:highlight w:val="none"/>
        </w:rPr>
        <w:t>一、经济文件</w:t>
      </w:r>
      <w:bookmarkEnd w:id="61"/>
      <w:bookmarkEnd w:id="62"/>
      <w:bookmarkEnd w:id="63"/>
      <w:bookmarkEnd w:id="64"/>
      <w:bookmarkEnd w:id="65"/>
      <w:bookmarkEnd w:id="66"/>
      <w:bookmarkEnd w:id="67"/>
      <w:bookmarkEnd w:id="68"/>
      <w:bookmarkEnd w:id="69"/>
      <w:bookmarkEnd w:id="70"/>
      <w:bookmarkEnd w:id="71"/>
      <w:bookmarkEnd w:id="72"/>
      <w:bookmarkEnd w:id="73"/>
      <w:bookmarkEnd w:id="74"/>
    </w:p>
    <w:p>
      <w:pPr>
        <w:snapToGrid w:val="0"/>
        <w:spacing w:line="360" w:lineRule="auto"/>
        <w:ind w:right="-59" w:rightChars="-21"/>
        <w:jc w:val="center"/>
        <w:outlineLvl w:val="2"/>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（一）开标一览表</w:t>
      </w:r>
    </w:p>
    <w:p>
      <w:pPr>
        <w:spacing w:line="360" w:lineRule="auto"/>
        <w:ind w:right="-59" w:rightChars="-21" w:firstLine="240" w:firstLineChars="100"/>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sz w:val="24"/>
          <w:szCs w:val="24"/>
          <w:highlight w:val="none"/>
        </w:rPr>
        <w:t>采购项目名称：</w:t>
      </w:r>
    </w:p>
    <w:tbl>
      <w:tblPr>
        <w:tblStyle w:val="47"/>
        <w:tblW w:w="5234" w:type="pct"/>
        <w:tblInd w:w="0" w:type="dxa"/>
        <w:tblLayout w:type="fixed"/>
        <w:tblCellMar>
          <w:top w:w="0" w:type="dxa"/>
          <w:left w:w="108" w:type="dxa"/>
          <w:bottom w:w="0" w:type="dxa"/>
          <w:right w:w="108" w:type="dxa"/>
        </w:tblCellMar>
      </w:tblPr>
      <w:tblGrid>
        <w:gridCol w:w="596"/>
        <w:gridCol w:w="1010"/>
        <w:gridCol w:w="2119"/>
        <w:gridCol w:w="708"/>
        <w:gridCol w:w="688"/>
        <w:gridCol w:w="964"/>
        <w:gridCol w:w="1060"/>
        <w:gridCol w:w="991"/>
        <w:gridCol w:w="785"/>
      </w:tblGrid>
      <w:tr>
        <w:tblPrEx>
          <w:tblCellMar>
            <w:top w:w="0" w:type="dxa"/>
            <w:left w:w="108" w:type="dxa"/>
            <w:bottom w:w="0" w:type="dxa"/>
            <w:right w:w="108" w:type="dxa"/>
          </w:tblCellMar>
        </w:tblPrEx>
        <w:trPr>
          <w:trHeight w:val="570" w:hRule="atLeast"/>
        </w:trPr>
        <w:tc>
          <w:tcPr>
            <w:tcW w:w="333"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序号</w:t>
            </w:r>
          </w:p>
        </w:tc>
        <w:tc>
          <w:tcPr>
            <w:tcW w:w="566" w:type="pct"/>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工程或费用名称</w:t>
            </w:r>
          </w:p>
        </w:tc>
        <w:tc>
          <w:tcPr>
            <w:tcW w:w="1187" w:type="pct"/>
            <w:tcBorders>
              <w:top w:val="single" w:color="000000" w:sz="8" w:space="0"/>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施工作业内容</w:t>
            </w:r>
          </w:p>
        </w:tc>
        <w:tc>
          <w:tcPr>
            <w:tcW w:w="39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计量单位</w:t>
            </w:r>
          </w:p>
        </w:tc>
        <w:tc>
          <w:tcPr>
            <w:tcW w:w="3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工程量</w:t>
            </w:r>
          </w:p>
        </w:tc>
        <w:tc>
          <w:tcPr>
            <w:tcW w:w="540" w:type="pct"/>
            <w:tcBorders>
              <w:top w:val="single" w:color="000000" w:sz="8" w:space="0"/>
              <w:left w:val="nil"/>
              <w:bottom w:val="nil"/>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kern w:val="0"/>
                <w:sz w:val="21"/>
                <w:szCs w:val="21"/>
                <w:highlight w:val="none"/>
                <w:lang w:bidi="ar"/>
              </w:rPr>
            </w:pPr>
            <w:r>
              <w:rPr>
                <w:rFonts w:hint="eastAsia" w:ascii="方正仿宋_GBK" w:hAnsi="方正仿宋_GBK" w:eastAsia="方正仿宋_GBK" w:cs="方正仿宋_GBK"/>
                <w:b/>
                <w:bCs/>
                <w:color w:val="auto"/>
                <w:kern w:val="0"/>
                <w:sz w:val="21"/>
                <w:szCs w:val="21"/>
                <w:highlight w:val="none"/>
                <w:lang w:bidi="ar"/>
              </w:rPr>
              <w:t>最高限价单价（元）</w:t>
            </w:r>
          </w:p>
        </w:tc>
        <w:tc>
          <w:tcPr>
            <w:tcW w:w="594" w:type="pct"/>
            <w:tcBorders>
              <w:top w:val="single" w:color="000000" w:sz="8" w:space="0"/>
              <w:left w:val="nil"/>
              <w:bottom w:val="nil"/>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kern w:val="0"/>
                <w:sz w:val="21"/>
                <w:szCs w:val="21"/>
                <w:highlight w:val="none"/>
                <w:lang w:bidi="ar"/>
              </w:rPr>
            </w:pPr>
            <w:r>
              <w:rPr>
                <w:rFonts w:hint="eastAsia" w:ascii="方正仿宋_GBK" w:hAnsi="方正仿宋_GBK" w:eastAsia="方正仿宋_GBK" w:cs="方正仿宋_GBK"/>
                <w:b/>
                <w:bCs/>
                <w:color w:val="auto"/>
                <w:kern w:val="0"/>
                <w:sz w:val="21"/>
                <w:szCs w:val="21"/>
                <w:highlight w:val="none"/>
                <w:lang w:bidi="ar"/>
              </w:rPr>
              <w:t>竞选报价单价（元）</w:t>
            </w:r>
          </w:p>
        </w:tc>
        <w:tc>
          <w:tcPr>
            <w:tcW w:w="555" w:type="pct"/>
            <w:tcBorders>
              <w:top w:val="single" w:color="000000" w:sz="8" w:space="0"/>
              <w:left w:val="nil"/>
              <w:bottom w:val="nil"/>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kern w:val="0"/>
                <w:sz w:val="21"/>
                <w:szCs w:val="21"/>
                <w:highlight w:val="none"/>
                <w:lang w:bidi="ar"/>
              </w:rPr>
            </w:pPr>
            <w:r>
              <w:rPr>
                <w:rFonts w:hint="eastAsia" w:ascii="方正仿宋_GBK" w:hAnsi="方正仿宋_GBK" w:eastAsia="方正仿宋_GBK" w:cs="方正仿宋_GBK"/>
                <w:b/>
                <w:bCs/>
                <w:color w:val="auto"/>
                <w:kern w:val="0"/>
                <w:sz w:val="21"/>
                <w:szCs w:val="21"/>
                <w:highlight w:val="none"/>
                <w:lang w:bidi="ar"/>
              </w:rPr>
              <w:t>竞选报价总价（元）</w:t>
            </w:r>
          </w:p>
        </w:tc>
        <w:tc>
          <w:tcPr>
            <w:tcW w:w="439" w:type="pct"/>
            <w:tcBorders>
              <w:top w:val="single" w:color="000000" w:sz="8" w:space="0"/>
              <w:left w:val="nil"/>
              <w:bottom w:val="nil"/>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kern w:val="0"/>
                <w:sz w:val="21"/>
                <w:szCs w:val="21"/>
                <w:highlight w:val="none"/>
                <w:lang w:bidi="ar"/>
              </w:rPr>
              <w:t>备注</w:t>
            </w:r>
          </w:p>
        </w:tc>
      </w:tr>
      <w:tr>
        <w:tblPrEx>
          <w:tblCellMar>
            <w:top w:w="0" w:type="dxa"/>
            <w:left w:w="108" w:type="dxa"/>
            <w:bottom w:w="0" w:type="dxa"/>
            <w:right w:w="108" w:type="dxa"/>
          </w:tblCellMar>
        </w:tblPrEx>
        <w:trPr>
          <w:trHeight w:val="2715" w:hRule="atLeast"/>
        </w:trPr>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56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进场入口平土石方</w:t>
            </w:r>
          </w:p>
        </w:tc>
        <w:tc>
          <w:tcPr>
            <w:tcW w:w="11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7"/>
                <w:rFonts w:hint="eastAsia" w:ascii="方正仿宋_GBK" w:hAnsi="方正仿宋_GBK" w:eastAsia="方正仿宋_GBK" w:cs="方正仿宋_GBK"/>
                <w:color w:val="auto"/>
                <w:sz w:val="21"/>
                <w:szCs w:val="21"/>
                <w:highlight w:val="none"/>
                <w:lang w:bidi="ar"/>
              </w:rPr>
              <w:t>[项目特征]</w:t>
            </w:r>
            <w:r>
              <w:rPr>
                <w:rStyle w:val="329"/>
                <w:rFonts w:hint="eastAsia" w:ascii="方正仿宋_GBK" w:hAnsi="方正仿宋_GBK" w:eastAsia="方正仿宋_GBK" w:cs="方正仿宋_GBK"/>
                <w:color w:val="auto"/>
                <w:sz w:val="21"/>
                <w:szCs w:val="21"/>
                <w:highlight w:val="none"/>
                <w:lang w:bidi="ar"/>
              </w:rPr>
              <w:br w:type="textWrapping"/>
            </w:r>
            <w:r>
              <w:rPr>
                <w:rStyle w:val="329"/>
                <w:rFonts w:hint="eastAsia" w:ascii="方正仿宋_GBK" w:hAnsi="方正仿宋_GBK" w:eastAsia="方正仿宋_GBK" w:cs="方正仿宋_GBK"/>
                <w:color w:val="auto"/>
                <w:sz w:val="21"/>
                <w:szCs w:val="21"/>
                <w:highlight w:val="none"/>
                <w:lang w:bidi="ar"/>
              </w:rPr>
              <w:t xml:space="preserve">1.土壤内别：综合       2.开挖方式：综合       3.挖土深度：2m           4.运距及渣场费：投标人自行综合考虑      </w:t>
            </w:r>
            <w:r>
              <w:rPr>
                <w:rStyle w:val="329"/>
                <w:rFonts w:hint="eastAsia" w:ascii="方正仿宋_GBK" w:hAnsi="方正仿宋_GBK" w:eastAsia="方正仿宋_GBK" w:cs="方正仿宋_GBK"/>
                <w:color w:val="auto"/>
                <w:sz w:val="21"/>
                <w:szCs w:val="21"/>
                <w:highlight w:val="none"/>
                <w:lang w:bidi="ar"/>
              </w:rPr>
              <w:br w:type="textWrapping"/>
            </w:r>
            <w:r>
              <w:rPr>
                <w:rStyle w:val="77"/>
                <w:rFonts w:hint="eastAsia" w:ascii="方正仿宋_GBK" w:hAnsi="方正仿宋_GBK" w:eastAsia="方正仿宋_GBK" w:cs="方正仿宋_GBK"/>
                <w:color w:val="auto"/>
                <w:sz w:val="21"/>
                <w:szCs w:val="21"/>
                <w:highlight w:val="none"/>
                <w:lang w:bidi="ar"/>
              </w:rPr>
              <w:t>[工作内容]</w:t>
            </w:r>
            <w:r>
              <w:rPr>
                <w:rStyle w:val="329"/>
                <w:rFonts w:hint="eastAsia" w:ascii="方正仿宋_GBK" w:hAnsi="方正仿宋_GBK" w:eastAsia="方正仿宋_GBK" w:cs="方正仿宋_GBK"/>
                <w:color w:val="auto"/>
                <w:sz w:val="21"/>
                <w:szCs w:val="21"/>
                <w:highlight w:val="none"/>
                <w:lang w:bidi="ar"/>
              </w:rPr>
              <w:br w:type="textWrapping"/>
            </w:r>
            <w:r>
              <w:rPr>
                <w:rStyle w:val="329"/>
                <w:rFonts w:hint="eastAsia" w:ascii="方正仿宋_GBK" w:hAnsi="方正仿宋_GBK" w:eastAsia="方正仿宋_GBK" w:cs="方正仿宋_GBK"/>
                <w:color w:val="auto"/>
                <w:sz w:val="21"/>
                <w:szCs w:val="21"/>
                <w:highlight w:val="none"/>
                <w:lang w:bidi="ar"/>
              </w:rPr>
              <w:t>1.土方开挖</w:t>
            </w:r>
            <w:r>
              <w:rPr>
                <w:rStyle w:val="329"/>
                <w:rFonts w:hint="eastAsia" w:ascii="方正仿宋_GBK" w:hAnsi="方正仿宋_GBK" w:eastAsia="方正仿宋_GBK" w:cs="方正仿宋_GBK"/>
                <w:color w:val="auto"/>
                <w:sz w:val="21"/>
                <w:szCs w:val="21"/>
                <w:highlight w:val="none"/>
                <w:lang w:bidi="ar"/>
              </w:rPr>
              <w:br w:type="textWrapping"/>
            </w:r>
            <w:r>
              <w:rPr>
                <w:rStyle w:val="329"/>
                <w:rFonts w:hint="eastAsia" w:ascii="方正仿宋_GBK" w:hAnsi="方正仿宋_GBK" w:eastAsia="方正仿宋_GBK" w:cs="方正仿宋_GBK"/>
                <w:color w:val="auto"/>
                <w:sz w:val="21"/>
                <w:szCs w:val="21"/>
                <w:highlight w:val="none"/>
                <w:lang w:bidi="ar"/>
              </w:rPr>
              <w:t xml:space="preserve">2.入口加宽                              3.出渣及渣场费   </w:t>
            </w:r>
          </w:p>
        </w:tc>
        <w:tc>
          <w:tcPr>
            <w:tcW w:w="39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立方</w:t>
            </w:r>
          </w:p>
        </w:tc>
        <w:tc>
          <w:tcPr>
            <w:tcW w:w="38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100</w:t>
            </w:r>
          </w:p>
        </w:tc>
        <w:tc>
          <w:tcPr>
            <w:tcW w:w="5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79</w:t>
            </w:r>
          </w:p>
        </w:tc>
        <w:tc>
          <w:tcPr>
            <w:tcW w:w="59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5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土石方2米高</w:t>
            </w:r>
          </w:p>
        </w:tc>
      </w:tr>
      <w:tr>
        <w:tblPrEx>
          <w:tblCellMar>
            <w:top w:w="0" w:type="dxa"/>
            <w:left w:w="108" w:type="dxa"/>
            <w:bottom w:w="0" w:type="dxa"/>
            <w:right w:w="108" w:type="dxa"/>
          </w:tblCellMar>
        </w:tblPrEx>
        <w:trPr>
          <w:trHeight w:val="1695" w:hRule="atLeast"/>
        </w:trPr>
        <w:tc>
          <w:tcPr>
            <w:tcW w:w="3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2</w:t>
            </w:r>
          </w:p>
        </w:tc>
        <w:tc>
          <w:tcPr>
            <w:tcW w:w="566"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简易门禁</w:t>
            </w:r>
          </w:p>
        </w:tc>
        <w:tc>
          <w:tcPr>
            <w:tcW w:w="118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t xml:space="preserve">                             1.   砖品种、强度等级:标准砖                                           2. 不锈钢管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砌筑支柱                                             2. 安装翻转不锈钢管    </w:t>
            </w:r>
          </w:p>
        </w:tc>
        <w:tc>
          <w:tcPr>
            <w:tcW w:w="39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套</w:t>
            </w:r>
          </w:p>
        </w:tc>
        <w:tc>
          <w:tcPr>
            <w:tcW w:w="38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5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3000</w:t>
            </w:r>
          </w:p>
        </w:tc>
        <w:tc>
          <w:tcPr>
            <w:tcW w:w="594"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55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水泥立柱、活动杆、1.2米高</w:t>
            </w:r>
          </w:p>
        </w:tc>
      </w:tr>
      <w:tr>
        <w:tblPrEx>
          <w:tblCellMar>
            <w:top w:w="0" w:type="dxa"/>
            <w:left w:w="108" w:type="dxa"/>
            <w:bottom w:w="0" w:type="dxa"/>
            <w:right w:w="108" w:type="dxa"/>
          </w:tblCellMar>
        </w:tblPrEx>
        <w:trPr>
          <w:trHeight w:val="3615" w:hRule="atLeast"/>
        </w:trPr>
        <w:tc>
          <w:tcPr>
            <w:tcW w:w="333" w:type="pct"/>
            <w:tcBorders>
              <w:top w:val="nil"/>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3</w:t>
            </w:r>
          </w:p>
        </w:tc>
        <w:tc>
          <w:tcPr>
            <w:tcW w:w="566"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蓄水池</w:t>
            </w:r>
          </w:p>
        </w:tc>
        <w:tc>
          <w:tcPr>
            <w:tcW w:w="1187"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2.砂浆强度等级:M7.5       3.规格：3m*2m*1.5m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1.砂浆制作、运输</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2.铺设垫层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3.底板混凝土制作、运输、浇筑、振捣、养护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4.砌砖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5.刮缝</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6.池底、壁抹灰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7.抹防潮层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 xml:space="preserve">8.材料运输           </w:t>
            </w:r>
          </w:p>
        </w:tc>
        <w:tc>
          <w:tcPr>
            <w:tcW w:w="397"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个</w:t>
            </w:r>
          </w:p>
        </w:tc>
        <w:tc>
          <w:tcPr>
            <w:tcW w:w="385"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540" w:type="pct"/>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4400</w:t>
            </w:r>
          </w:p>
        </w:tc>
        <w:tc>
          <w:tcPr>
            <w:tcW w:w="594" w:type="pct"/>
            <w:tcBorders>
              <w:top w:val="nil"/>
              <w:left w:val="nil"/>
              <w:bottom w:val="nil"/>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555" w:type="pct"/>
            <w:tcBorders>
              <w:top w:val="nil"/>
              <w:left w:val="nil"/>
              <w:bottom w:val="nil"/>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439" w:type="pct"/>
            <w:tcBorders>
              <w:top w:val="nil"/>
              <w:left w:val="nil"/>
              <w:bottom w:val="nil"/>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4095" w:hRule="atLeast"/>
        </w:trPr>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4</w:t>
            </w:r>
          </w:p>
        </w:tc>
        <w:tc>
          <w:tcPr>
            <w:tcW w:w="56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砖混污水池</w:t>
            </w:r>
          </w:p>
        </w:tc>
        <w:tc>
          <w:tcPr>
            <w:tcW w:w="11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2.砂浆强度等级:M7.5       3.规格：6m*4m*1.8m+2m*4m*1.8m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1.砂浆制作、运输</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2.铺设垫层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3.底板混凝土制作、运输、浇筑、振捣、养护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4.砌砖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5.刮缝</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6.池底、壁抹灰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7.抹防潮层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 xml:space="preserve">8.材料运输           </w:t>
            </w:r>
          </w:p>
        </w:tc>
        <w:tc>
          <w:tcPr>
            <w:tcW w:w="39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个</w:t>
            </w:r>
          </w:p>
        </w:tc>
        <w:tc>
          <w:tcPr>
            <w:tcW w:w="3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54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35500</w:t>
            </w:r>
          </w:p>
        </w:tc>
        <w:tc>
          <w:tcPr>
            <w:tcW w:w="59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555"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439"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1935" w:hRule="atLeast"/>
        </w:trPr>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5</w:t>
            </w:r>
          </w:p>
        </w:tc>
        <w:tc>
          <w:tcPr>
            <w:tcW w:w="56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钢架棚</w:t>
            </w:r>
          </w:p>
        </w:tc>
        <w:tc>
          <w:tcPr>
            <w:tcW w:w="11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 xml:space="preserve">[项目特征]    </w:t>
            </w:r>
            <w:r>
              <w:rPr>
                <w:rStyle w:val="332"/>
                <w:rFonts w:hint="eastAsia" w:ascii="方正仿宋_GBK" w:hAnsi="方正仿宋_GBK" w:eastAsia="方正仿宋_GBK" w:cs="方正仿宋_GBK"/>
                <w:color w:val="auto"/>
                <w:sz w:val="21"/>
                <w:szCs w:val="21"/>
                <w:highlight w:val="none"/>
                <w:lang w:bidi="ar"/>
              </w:rPr>
              <w:t xml:space="preserve">                         1. 160立柱                                             2. 树脂瓦盖                                  3.规格：15m*10m*7m+9m*5m*7m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安装立柱，焊接框架                                             2. 搭棚     </w:t>
            </w:r>
          </w:p>
        </w:tc>
        <w:tc>
          <w:tcPr>
            <w:tcW w:w="39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平方</w:t>
            </w:r>
          </w:p>
        </w:tc>
        <w:tc>
          <w:tcPr>
            <w:tcW w:w="3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195</w:t>
            </w:r>
          </w:p>
        </w:tc>
        <w:tc>
          <w:tcPr>
            <w:tcW w:w="54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242</w:t>
            </w:r>
          </w:p>
        </w:tc>
        <w:tc>
          <w:tcPr>
            <w:tcW w:w="59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55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43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钢管立柱、钢屋架、树脂瓦</w:t>
            </w:r>
          </w:p>
        </w:tc>
      </w:tr>
      <w:tr>
        <w:tblPrEx>
          <w:tblCellMar>
            <w:top w:w="0" w:type="dxa"/>
            <w:left w:w="108" w:type="dxa"/>
            <w:bottom w:w="0" w:type="dxa"/>
            <w:right w:w="108" w:type="dxa"/>
          </w:tblCellMar>
        </w:tblPrEx>
        <w:trPr>
          <w:trHeight w:val="2040" w:hRule="atLeast"/>
        </w:trPr>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6</w:t>
            </w:r>
          </w:p>
        </w:tc>
        <w:tc>
          <w:tcPr>
            <w:tcW w:w="56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板房搭建</w:t>
            </w:r>
          </w:p>
        </w:tc>
        <w:tc>
          <w:tcPr>
            <w:tcW w:w="11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 xml:space="preserve">[项目特征]   </w:t>
            </w:r>
            <w:r>
              <w:rPr>
                <w:rStyle w:val="332"/>
                <w:rFonts w:hint="eastAsia" w:ascii="方正仿宋_GBK" w:hAnsi="方正仿宋_GBK" w:eastAsia="方正仿宋_GBK" w:cs="方正仿宋_GBK"/>
                <w:color w:val="auto"/>
                <w:sz w:val="21"/>
                <w:szCs w:val="21"/>
                <w:highlight w:val="none"/>
                <w:lang w:bidi="ar"/>
              </w:rPr>
              <w:t xml:space="preserve">                          1. 角架                                           2. 夹芯板                                  3. 浇筑地梁                                  4.规格：13m*3m*2.8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焊接框架                                            2. 组装板房  </w:t>
            </w:r>
          </w:p>
        </w:tc>
        <w:tc>
          <w:tcPr>
            <w:tcW w:w="39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间</w:t>
            </w:r>
          </w:p>
        </w:tc>
        <w:tc>
          <w:tcPr>
            <w:tcW w:w="3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2</w:t>
            </w:r>
          </w:p>
        </w:tc>
        <w:tc>
          <w:tcPr>
            <w:tcW w:w="54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16500</w:t>
            </w:r>
          </w:p>
        </w:tc>
        <w:tc>
          <w:tcPr>
            <w:tcW w:w="59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55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43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含搭建、材料、人工以及板房地面硬化等</w:t>
            </w:r>
          </w:p>
        </w:tc>
      </w:tr>
      <w:tr>
        <w:tblPrEx>
          <w:tblCellMar>
            <w:top w:w="0" w:type="dxa"/>
            <w:left w:w="108" w:type="dxa"/>
            <w:bottom w:w="0" w:type="dxa"/>
            <w:right w:w="108" w:type="dxa"/>
          </w:tblCellMar>
        </w:tblPrEx>
        <w:trPr>
          <w:trHeight w:val="2175" w:hRule="atLeast"/>
        </w:trPr>
        <w:tc>
          <w:tcPr>
            <w:tcW w:w="3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7</w:t>
            </w:r>
          </w:p>
        </w:tc>
        <w:tc>
          <w:tcPr>
            <w:tcW w:w="566"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厕  所</w:t>
            </w:r>
          </w:p>
        </w:tc>
        <w:tc>
          <w:tcPr>
            <w:tcW w:w="118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[项目特征]                             1. 角架                                           2. 夹芯板                                  3. 浇筑地梁                                         4.规格：3m*2m*2.8                                  [工作内容]                                    1. 焊接框架                                            2. 组装板房                                    3.安装蹲便器 </w:t>
            </w:r>
          </w:p>
        </w:tc>
        <w:tc>
          <w:tcPr>
            <w:tcW w:w="39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间</w:t>
            </w:r>
          </w:p>
        </w:tc>
        <w:tc>
          <w:tcPr>
            <w:tcW w:w="38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5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7800</w:t>
            </w:r>
          </w:p>
        </w:tc>
        <w:tc>
          <w:tcPr>
            <w:tcW w:w="594"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555"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43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1780" w:hRule="atLeast"/>
        </w:trPr>
        <w:tc>
          <w:tcPr>
            <w:tcW w:w="3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8</w:t>
            </w:r>
          </w:p>
        </w:tc>
        <w:tc>
          <w:tcPr>
            <w:tcW w:w="566"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水、电、杂工、临设</w:t>
            </w:r>
          </w:p>
        </w:tc>
        <w:tc>
          <w:tcPr>
            <w:tcW w:w="118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 xml:space="preserve">[项目特征] </w:t>
            </w:r>
            <w:r>
              <w:rPr>
                <w:rStyle w:val="332"/>
                <w:rFonts w:hint="eastAsia" w:ascii="方正仿宋_GBK" w:hAnsi="方正仿宋_GBK" w:eastAsia="方正仿宋_GBK" w:cs="方正仿宋_GBK"/>
                <w:color w:val="auto"/>
                <w:sz w:val="21"/>
                <w:szCs w:val="21"/>
                <w:highlight w:val="none"/>
                <w:lang w:bidi="ar"/>
              </w:rPr>
              <w:t xml:space="preserve">                            1. 模版、人工                                             2.  线、管、工具等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支座模版                                             2. 安装水电等   </w:t>
            </w:r>
          </w:p>
        </w:tc>
        <w:tc>
          <w:tcPr>
            <w:tcW w:w="39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项</w:t>
            </w:r>
          </w:p>
        </w:tc>
        <w:tc>
          <w:tcPr>
            <w:tcW w:w="38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5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36500</w:t>
            </w:r>
          </w:p>
        </w:tc>
        <w:tc>
          <w:tcPr>
            <w:tcW w:w="594"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55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含场内水电搭设、材料、人工等</w:t>
            </w:r>
          </w:p>
        </w:tc>
      </w:tr>
      <w:tr>
        <w:tblPrEx>
          <w:tblCellMar>
            <w:top w:w="0" w:type="dxa"/>
            <w:left w:w="108" w:type="dxa"/>
            <w:bottom w:w="0" w:type="dxa"/>
            <w:right w:w="108" w:type="dxa"/>
          </w:tblCellMar>
        </w:tblPrEx>
        <w:trPr>
          <w:trHeight w:val="3615" w:hRule="atLeast"/>
        </w:trPr>
        <w:tc>
          <w:tcPr>
            <w:tcW w:w="333" w:type="pct"/>
            <w:tcBorders>
              <w:top w:val="nil"/>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9</w:t>
            </w:r>
          </w:p>
        </w:tc>
        <w:tc>
          <w:tcPr>
            <w:tcW w:w="566"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砼水沟、盖板</w:t>
            </w:r>
          </w:p>
        </w:tc>
        <w:tc>
          <w:tcPr>
            <w:tcW w:w="1187"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2.混凝土强度等级:C15</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3.砂浆强度等级:M7.5       4.规格：0.3M*0.4M*40m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1.土方挖、运、填</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2.铺设垫层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3.底板混凝土制作、运输、浇筑、振捣、养护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4.砌砖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5.刮缝、抹灰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6.材料运输                        7.沟盖板（复合板）</w:t>
            </w:r>
          </w:p>
        </w:tc>
        <w:tc>
          <w:tcPr>
            <w:tcW w:w="397"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米</w:t>
            </w:r>
          </w:p>
        </w:tc>
        <w:tc>
          <w:tcPr>
            <w:tcW w:w="385"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40</w:t>
            </w:r>
          </w:p>
        </w:tc>
        <w:tc>
          <w:tcPr>
            <w:tcW w:w="540" w:type="pc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575</w:t>
            </w:r>
          </w:p>
        </w:tc>
        <w:tc>
          <w:tcPr>
            <w:tcW w:w="594"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555"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kern w:val="0"/>
                <w:sz w:val="21"/>
                <w:szCs w:val="21"/>
                <w:highlight w:val="none"/>
                <w:lang w:bidi="ar"/>
              </w:rPr>
            </w:pPr>
          </w:p>
        </w:tc>
        <w:tc>
          <w:tcPr>
            <w:tcW w:w="439" w:type="pct"/>
            <w:tcBorders>
              <w:top w:val="nil"/>
              <w:left w:val="nil"/>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含水沟浇筑，水箅子安装</w:t>
            </w:r>
          </w:p>
        </w:tc>
      </w:tr>
      <w:tr>
        <w:tblPrEx>
          <w:tblCellMar>
            <w:top w:w="0" w:type="dxa"/>
            <w:left w:w="108" w:type="dxa"/>
            <w:bottom w:w="0" w:type="dxa"/>
            <w:right w:w="108" w:type="dxa"/>
          </w:tblCellMar>
        </w:tblPrEx>
        <w:trPr>
          <w:trHeight w:val="2415" w:hRule="atLeast"/>
        </w:trPr>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10</w:t>
            </w:r>
          </w:p>
        </w:tc>
        <w:tc>
          <w:tcPr>
            <w:tcW w:w="56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砖砌挡水墙</w:t>
            </w:r>
          </w:p>
        </w:tc>
        <w:tc>
          <w:tcPr>
            <w:tcW w:w="11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2..砂浆强度等级:M7.5       3.规格：12M*0.0.5M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2.刮缝、抹灰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 xml:space="preserve">3.材料运输                                 4.养护                  </w:t>
            </w:r>
          </w:p>
        </w:tc>
        <w:tc>
          <w:tcPr>
            <w:tcW w:w="39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项</w:t>
            </w:r>
          </w:p>
        </w:tc>
        <w:tc>
          <w:tcPr>
            <w:tcW w:w="3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54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1650</w:t>
            </w:r>
          </w:p>
        </w:tc>
        <w:tc>
          <w:tcPr>
            <w:tcW w:w="59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555"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439"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2415" w:hRule="atLeast"/>
        </w:trPr>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11</w:t>
            </w:r>
          </w:p>
        </w:tc>
        <w:tc>
          <w:tcPr>
            <w:tcW w:w="56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场地硬化</w:t>
            </w:r>
          </w:p>
        </w:tc>
        <w:tc>
          <w:tcPr>
            <w:tcW w:w="11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1.混凝土强度等级:200mmC30商品混凝土  2.厚度：20cm                    3.规格：63m*4.5m+15m*10m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1.模板制作、安装、拆除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2.混凝土拌和、运输、浇筑</w:t>
            </w:r>
          </w:p>
        </w:tc>
        <w:tc>
          <w:tcPr>
            <w:tcW w:w="39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平方</w:t>
            </w:r>
          </w:p>
        </w:tc>
        <w:tc>
          <w:tcPr>
            <w:tcW w:w="3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433.5</w:t>
            </w:r>
          </w:p>
        </w:tc>
        <w:tc>
          <w:tcPr>
            <w:tcW w:w="54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135</w:t>
            </w:r>
          </w:p>
        </w:tc>
        <w:tc>
          <w:tcPr>
            <w:tcW w:w="59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555"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439"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1780" w:hRule="atLeast"/>
        </w:trPr>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12</w:t>
            </w:r>
          </w:p>
        </w:tc>
        <w:tc>
          <w:tcPr>
            <w:tcW w:w="56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钢围栏</w:t>
            </w:r>
          </w:p>
        </w:tc>
        <w:tc>
          <w:tcPr>
            <w:tcW w:w="11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 xml:space="preserve">[项目特征]  </w:t>
            </w:r>
            <w:r>
              <w:rPr>
                <w:rStyle w:val="332"/>
                <w:rFonts w:hint="eastAsia" w:ascii="方正仿宋_GBK" w:hAnsi="方正仿宋_GBK" w:eastAsia="方正仿宋_GBK" w:cs="方正仿宋_GBK"/>
                <w:color w:val="auto"/>
                <w:sz w:val="21"/>
                <w:szCs w:val="21"/>
                <w:highlight w:val="none"/>
                <w:lang w:bidi="ar"/>
              </w:rPr>
              <w:t xml:space="preserve">                           1.  1.8不锈钢立柱                                            2.  不锈钢条                                        3.规格：16M*2M                                  </w:t>
            </w:r>
            <w:r>
              <w:rPr>
                <w:rStyle w:val="79"/>
                <w:rFonts w:hint="eastAsia" w:ascii="方正仿宋_GBK" w:hAnsi="方正仿宋_GBK" w:eastAsia="方正仿宋_GBK" w:cs="方正仿宋_GBK"/>
                <w:color w:val="auto"/>
                <w:sz w:val="21"/>
                <w:szCs w:val="21"/>
                <w:highlight w:val="none"/>
                <w:lang w:bidi="ar"/>
              </w:rPr>
              <w:t xml:space="preserve">[工作内容] </w:t>
            </w:r>
            <w:r>
              <w:rPr>
                <w:rStyle w:val="332"/>
                <w:rFonts w:hint="eastAsia" w:ascii="方正仿宋_GBK" w:hAnsi="方正仿宋_GBK" w:eastAsia="方正仿宋_GBK" w:cs="方正仿宋_GBK"/>
                <w:color w:val="auto"/>
                <w:sz w:val="21"/>
                <w:szCs w:val="21"/>
                <w:highlight w:val="none"/>
                <w:lang w:bidi="ar"/>
              </w:rPr>
              <w:t xml:space="preserve">                                   1.  焊接不锈钢防护架                                            2.   安装成型  </w:t>
            </w:r>
          </w:p>
        </w:tc>
        <w:tc>
          <w:tcPr>
            <w:tcW w:w="39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项</w:t>
            </w:r>
          </w:p>
        </w:tc>
        <w:tc>
          <w:tcPr>
            <w:tcW w:w="3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16</w:t>
            </w:r>
          </w:p>
        </w:tc>
        <w:tc>
          <w:tcPr>
            <w:tcW w:w="54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375</w:t>
            </w:r>
          </w:p>
        </w:tc>
        <w:tc>
          <w:tcPr>
            <w:tcW w:w="59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555"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439"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831" w:hRule="atLeast"/>
        </w:trPr>
        <w:tc>
          <w:tcPr>
            <w:tcW w:w="333"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13</w:t>
            </w:r>
          </w:p>
        </w:tc>
        <w:tc>
          <w:tcPr>
            <w:tcW w:w="566" w:type="pct"/>
            <w:tcBorders>
              <w:top w:val="nil"/>
              <w:left w:val="nil"/>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制作修车地沟</w:t>
            </w:r>
          </w:p>
        </w:tc>
        <w:tc>
          <w:tcPr>
            <w:tcW w:w="1187" w:type="pct"/>
            <w:tcBorders>
              <w:top w:val="nil"/>
              <w:left w:val="nil"/>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color w:val="auto"/>
                <w:sz w:val="21"/>
                <w:szCs w:val="21"/>
                <w:highlight w:val="none"/>
              </w:rPr>
            </w:pPr>
            <w:r>
              <w:rPr>
                <w:rStyle w:val="79"/>
                <w:rFonts w:hint="eastAsia" w:ascii="方正仿宋_GBK" w:hAnsi="方正仿宋_GBK" w:eastAsia="方正仿宋_GBK" w:cs="方正仿宋_GBK"/>
                <w:color w:val="auto"/>
                <w:sz w:val="21"/>
                <w:szCs w:val="21"/>
                <w:highlight w:val="none"/>
                <w:lang w:bidi="ar"/>
              </w:rPr>
              <w:t>[项目特征]</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1.砖品种、强度等级:标准砖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2.混凝土强度等级:C15</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3.砂浆强度等级:M7.5       4.规格：8M*1M</w:t>
            </w:r>
            <w:r>
              <w:rPr>
                <w:rStyle w:val="332"/>
                <w:rFonts w:hint="eastAsia" w:ascii="方正仿宋_GBK" w:hAnsi="方正仿宋_GBK" w:eastAsia="方正仿宋_GBK" w:cs="方正仿宋_GBK"/>
                <w:color w:val="auto"/>
                <w:sz w:val="21"/>
                <w:szCs w:val="21"/>
                <w:highlight w:val="none"/>
                <w:lang w:bidi="ar"/>
              </w:rPr>
              <w:br w:type="textWrapping"/>
            </w:r>
            <w:r>
              <w:rPr>
                <w:rStyle w:val="79"/>
                <w:rFonts w:hint="eastAsia" w:ascii="方正仿宋_GBK" w:hAnsi="方正仿宋_GBK" w:eastAsia="方正仿宋_GBK" w:cs="方正仿宋_GBK"/>
                <w:color w:val="auto"/>
                <w:sz w:val="21"/>
                <w:szCs w:val="21"/>
                <w:highlight w:val="none"/>
                <w:lang w:bidi="ar"/>
              </w:rPr>
              <w:t>[工作内容]</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1.土方挖、运、填</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2.铺设垫层</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3.底板混凝土制作、运输、浇筑、振捣、养护</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4.砌砖</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5.刮缝、抹灰</w:t>
            </w:r>
            <w:r>
              <w:rPr>
                <w:rStyle w:val="332"/>
                <w:rFonts w:hint="eastAsia" w:ascii="方正仿宋_GBK" w:hAnsi="方正仿宋_GBK" w:eastAsia="方正仿宋_GBK" w:cs="方正仿宋_GBK"/>
                <w:color w:val="auto"/>
                <w:sz w:val="21"/>
                <w:szCs w:val="21"/>
                <w:highlight w:val="none"/>
                <w:lang w:bidi="ar"/>
              </w:rPr>
              <w:br w:type="textWrapping"/>
            </w:r>
            <w:r>
              <w:rPr>
                <w:rStyle w:val="332"/>
                <w:rFonts w:hint="eastAsia" w:ascii="方正仿宋_GBK" w:hAnsi="方正仿宋_GBK" w:eastAsia="方正仿宋_GBK" w:cs="方正仿宋_GBK"/>
                <w:color w:val="auto"/>
                <w:sz w:val="21"/>
                <w:szCs w:val="21"/>
                <w:highlight w:val="none"/>
                <w:lang w:bidi="ar"/>
              </w:rPr>
              <w:t xml:space="preserve">6.材料运输                        </w:t>
            </w:r>
          </w:p>
        </w:tc>
        <w:tc>
          <w:tcPr>
            <w:tcW w:w="397"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个</w:t>
            </w:r>
          </w:p>
        </w:tc>
        <w:tc>
          <w:tcPr>
            <w:tcW w:w="385" w:type="pct"/>
            <w:tcBorders>
              <w:top w:val="nil"/>
              <w:left w:val="nil"/>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1</w:t>
            </w:r>
          </w:p>
        </w:tc>
        <w:tc>
          <w:tcPr>
            <w:tcW w:w="540" w:type="pct"/>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8400</w:t>
            </w:r>
          </w:p>
        </w:tc>
        <w:tc>
          <w:tcPr>
            <w:tcW w:w="594" w:type="pct"/>
            <w:tcBorders>
              <w:top w:val="nil"/>
              <w:left w:val="nil"/>
              <w:bottom w:val="single" w:color="auto"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555" w:type="pct"/>
            <w:tcBorders>
              <w:top w:val="nil"/>
              <w:left w:val="nil"/>
              <w:bottom w:val="single" w:color="auto"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c>
          <w:tcPr>
            <w:tcW w:w="439" w:type="pct"/>
            <w:tcBorders>
              <w:top w:val="nil"/>
              <w:left w:val="nil"/>
              <w:bottom w:val="single" w:color="auto"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1"/>
                <w:szCs w:val="21"/>
                <w:highlight w:val="none"/>
              </w:rPr>
            </w:pPr>
          </w:p>
        </w:tc>
      </w:tr>
      <w:tr>
        <w:tblPrEx>
          <w:tblCellMar>
            <w:top w:w="0" w:type="dxa"/>
            <w:left w:w="108" w:type="dxa"/>
            <w:bottom w:w="0" w:type="dxa"/>
            <w:right w:w="108" w:type="dxa"/>
          </w:tblCellMar>
        </w:tblPrEx>
        <w:trPr>
          <w:trHeight w:val="831"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auto"/>
                <w:kern w:val="0"/>
                <w:sz w:val="21"/>
                <w:szCs w:val="21"/>
                <w:highlight w:val="none"/>
                <w:lang w:val="en-US" w:eastAsia="zh-CN" w:bidi="ar"/>
              </w:rPr>
            </w:pPr>
            <w:r>
              <w:rPr>
                <w:rFonts w:hint="eastAsia" w:ascii="方正仿宋_GBK" w:hAnsi="方正仿宋_GBK" w:eastAsia="方正仿宋_GBK" w:cs="方正仿宋_GBK"/>
                <w:color w:val="auto"/>
                <w:kern w:val="0"/>
                <w:sz w:val="21"/>
                <w:szCs w:val="21"/>
                <w:highlight w:val="none"/>
                <w:lang w:val="en-US" w:eastAsia="zh-CN" w:bidi="ar"/>
              </w:rPr>
              <w:t>14</w:t>
            </w:r>
          </w:p>
        </w:tc>
        <w:tc>
          <w:tcPr>
            <w:tcW w:w="367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color w:val="auto"/>
                <w:sz w:val="24"/>
                <w:szCs w:val="24"/>
                <w:highlight w:val="none"/>
                <w:lang w:bidi="ar"/>
              </w:rPr>
            </w:pPr>
            <w:r>
              <w:rPr>
                <w:rFonts w:hint="eastAsia" w:ascii="方正仿宋_GBK" w:hAnsi="方正仿宋_GBK" w:eastAsia="方正仿宋_GBK" w:cs="方正仿宋_GBK"/>
                <w:b/>
                <w:bCs/>
                <w:color w:val="auto"/>
                <w:sz w:val="24"/>
                <w:szCs w:val="24"/>
                <w:highlight w:val="none"/>
                <w:lang w:bidi="ar"/>
              </w:rPr>
              <w:t>直接费合计</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r>
      <w:tr>
        <w:tblPrEx>
          <w:tblCellMar>
            <w:top w:w="0" w:type="dxa"/>
            <w:left w:w="108" w:type="dxa"/>
            <w:bottom w:w="0" w:type="dxa"/>
            <w:right w:w="108" w:type="dxa"/>
          </w:tblCellMar>
        </w:tblPrEx>
        <w:trPr>
          <w:trHeight w:val="831"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auto"/>
                <w:kern w:val="0"/>
                <w:sz w:val="21"/>
                <w:szCs w:val="21"/>
                <w:highlight w:val="none"/>
                <w:lang w:val="en-US" w:eastAsia="zh-CN" w:bidi="ar"/>
              </w:rPr>
            </w:pPr>
            <w:r>
              <w:rPr>
                <w:rFonts w:hint="eastAsia" w:ascii="方正仿宋_GBK" w:hAnsi="方正仿宋_GBK" w:eastAsia="方正仿宋_GBK" w:cs="方正仿宋_GBK"/>
                <w:color w:val="auto"/>
                <w:kern w:val="0"/>
                <w:sz w:val="21"/>
                <w:szCs w:val="21"/>
                <w:highlight w:val="none"/>
                <w:lang w:val="en-US" w:eastAsia="zh-CN" w:bidi="ar"/>
              </w:rPr>
              <w:t>15</w:t>
            </w:r>
          </w:p>
        </w:tc>
        <w:tc>
          <w:tcPr>
            <w:tcW w:w="367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color w:val="auto"/>
                <w:sz w:val="24"/>
                <w:szCs w:val="24"/>
                <w:highlight w:val="none"/>
                <w:lang w:bidi="ar"/>
              </w:rPr>
            </w:pPr>
            <w:r>
              <w:rPr>
                <w:rFonts w:hint="eastAsia" w:ascii="方正仿宋_GBK" w:hAnsi="方正仿宋_GBK" w:eastAsia="方正仿宋_GBK" w:cs="方正仿宋_GBK"/>
                <w:b/>
                <w:bCs/>
                <w:color w:val="auto"/>
                <w:sz w:val="24"/>
                <w:szCs w:val="24"/>
                <w:highlight w:val="none"/>
                <w:lang w:bidi="ar"/>
              </w:rPr>
              <w:t>税费</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r>
              <w:rPr>
                <w:rFonts w:hint="eastAsia" w:ascii="方正仿宋_GBK" w:hAnsi="方正仿宋_GBK" w:eastAsia="方正仿宋_GBK" w:cs="方正仿宋_GBK"/>
                <w:b/>
                <w:bCs/>
                <w:color w:val="auto"/>
                <w:kern w:val="0"/>
                <w:sz w:val="22"/>
                <w:szCs w:val="22"/>
                <w:highlight w:val="none"/>
                <w:lang w:bidi="ar"/>
              </w:rPr>
              <w:t>税率（XX）</w:t>
            </w:r>
          </w:p>
        </w:tc>
      </w:tr>
      <w:tr>
        <w:tblPrEx>
          <w:tblCellMar>
            <w:top w:w="0" w:type="dxa"/>
            <w:left w:w="108" w:type="dxa"/>
            <w:bottom w:w="0" w:type="dxa"/>
            <w:right w:w="108" w:type="dxa"/>
          </w:tblCellMar>
        </w:tblPrEx>
        <w:trPr>
          <w:trHeight w:val="831"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auto"/>
                <w:kern w:val="0"/>
                <w:sz w:val="21"/>
                <w:szCs w:val="21"/>
                <w:highlight w:val="none"/>
                <w:lang w:val="en-US" w:eastAsia="zh-CN" w:bidi="ar"/>
              </w:rPr>
            </w:pPr>
            <w:r>
              <w:rPr>
                <w:rFonts w:hint="eastAsia" w:ascii="方正仿宋_GBK" w:hAnsi="方正仿宋_GBK" w:eastAsia="方正仿宋_GBK" w:cs="方正仿宋_GBK"/>
                <w:color w:val="auto"/>
                <w:kern w:val="0"/>
                <w:sz w:val="21"/>
                <w:szCs w:val="21"/>
                <w:highlight w:val="none"/>
                <w:lang w:val="en-US" w:eastAsia="zh-CN" w:bidi="ar"/>
              </w:rPr>
              <w:t>16</w:t>
            </w:r>
          </w:p>
        </w:tc>
        <w:tc>
          <w:tcPr>
            <w:tcW w:w="367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color w:val="auto"/>
                <w:sz w:val="24"/>
                <w:szCs w:val="24"/>
                <w:highlight w:val="none"/>
                <w:lang w:bidi="ar"/>
              </w:rPr>
            </w:pPr>
            <w:r>
              <w:rPr>
                <w:rFonts w:hint="eastAsia" w:ascii="方正仿宋_GBK" w:hAnsi="方正仿宋_GBK" w:eastAsia="方正仿宋_GBK" w:cs="方正仿宋_GBK"/>
                <w:b/>
                <w:bCs/>
                <w:color w:val="auto"/>
                <w:sz w:val="24"/>
                <w:szCs w:val="24"/>
                <w:highlight w:val="none"/>
                <w:lang w:bidi="ar"/>
              </w:rPr>
              <w:t>小计</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r>
      <w:tr>
        <w:tblPrEx>
          <w:tblCellMar>
            <w:top w:w="0" w:type="dxa"/>
            <w:left w:w="108" w:type="dxa"/>
            <w:bottom w:w="0" w:type="dxa"/>
            <w:right w:w="108" w:type="dxa"/>
          </w:tblCellMar>
        </w:tblPrEx>
        <w:trPr>
          <w:trHeight w:val="831"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auto"/>
                <w:kern w:val="0"/>
                <w:sz w:val="21"/>
                <w:szCs w:val="21"/>
                <w:highlight w:val="none"/>
                <w:lang w:val="en-US" w:eastAsia="zh-CN" w:bidi="ar"/>
              </w:rPr>
            </w:pPr>
            <w:r>
              <w:rPr>
                <w:rFonts w:hint="eastAsia" w:ascii="方正仿宋_GBK" w:hAnsi="方正仿宋_GBK" w:eastAsia="方正仿宋_GBK" w:cs="方正仿宋_GBK"/>
                <w:color w:val="auto"/>
                <w:kern w:val="0"/>
                <w:sz w:val="21"/>
                <w:szCs w:val="21"/>
                <w:highlight w:val="none"/>
                <w:lang w:val="en-US" w:eastAsia="zh-CN" w:bidi="ar"/>
              </w:rPr>
              <w:t>17</w:t>
            </w:r>
          </w:p>
        </w:tc>
        <w:tc>
          <w:tcPr>
            <w:tcW w:w="367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color w:val="auto"/>
                <w:sz w:val="24"/>
                <w:szCs w:val="24"/>
                <w:highlight w:val="none"/>
                <w:lang w:bidi="ar"/>
              </w:rPr>
            </w:pPr>
            <w:r>
              <w:rPr>
                <w:rFonts w:hint="eastAsia" w:ascii="方正仿宋_GBK" w:hAnsi="方正仿宋_GBK" w:eastAsia="方正仿宋_GBK" w:cs="方正仿宋_GBK"/>
                <w:b/>
                <w:bCs/>
                <w:color w:val="auto"/>
                <w:sz w:val="24"/>
                <w:szCs w:val="24"/>
                <w:highlight w:val="none"/>
                <w:lang w:bidi="ar"/>
              </w:rPr>
              <w:t>税金及附加费</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r>
      <w:tr>
        <w:tblPrEx>
          <w:tblCellMar>
            <w:top w:w="0" w:type="dxa"/>
            <w:left w:w="108" w:type="dxa"/>
            <w:bottom w:w="0" w:type="dxa"/>
            <w:right w:w="108" w:type="dxa"/>
          </w:tblCellMar>
        </w:tblPrEx>
        <w:trPr>
          <w:trHeight w:val="831"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auto"/>
                <w:kern w:val="0"/>
                <w:sz w:val="21"/>
                <w:szCs w:val="21"/>
                <w:highlight w:val="none"/>
                <w:lang w:val="en-US" w:eastAsia="zh-CN" w:bidi="ar"/>
              </w:rPr>
            </w:pPr>
            <w:r>
              <w:rPr>
                <w:rFonts w:hint="eastAsia" w:ascii="方正仿宋_GBK" w:hAnsi="方正仿宋_GBK" w:eastAsia="方正仿宋_GBK" w:cs="方正仿宋_GBK"/>
                <w:color w:val="auto"/>
                <w:kern w:val="0"/>
                <w:sz w:val="21"/>
                <w:szCs w:val="21"/>
                <w:highlight w:val="none"/>
                <w:lang w:val="en-US" w:eastAsia="zh-CN" w:bidi="ar"/>
              </w:rPr>
              <w:t>18</w:t>
            </w:r>
          </w:p>
        </w:tc>
        <w:tc>
          <w:tcPr>
            <w:tcW w:w="367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color w:val="auto"/>
                <w:sz w:val="24"/>
                <w:szCs w:val="24"/>
                <w:highlight w:val="none"/>
                <w:lang w:bidi="ar"/>
              </w:rPr>
            </w:pPr>
            <w:r>
              <w:rPr>
                <w:rFonts w:hint="eastAsia" w:ascii="方正仿宋_GBK" w:hAnsi="方正仿宋_GBK" w:eastAsia="方正仿宋_GBK" w:cs="方正仿宋_GBK"/>
                <w:b/>
                <w:bCs/>
                <w:color w:val="auto"/>
                <w:sz w:val="24"/>
                <w:szCs w:val="24"/>
                <w:highlight w:val="none"/>
                <w:lang w:bidi="ar"/>
              </w:rPr>
              <w:t>总计</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b/>
                <w:bCs/>
                <w:color w:val="auto"/>
                <w:sz w:val="21"/>
                <w:szCs w:val="21"/>
                <w:highlight w:val="none"/>
                <w:lang w:bidi="ar"/>
              </w:rPr>
            </w:pPr>
          </w:p>
        </w:tc>
      </w:tr>
      <w:tr>
        <w:tblPrEx>
          <w:tblCellMar>
            <w:top w:w="0" w:type="dxa"/>
            <w:left w:w="108" w:type="dxa"/>
            <w:bottom w:w="0" w:type="dxa"/>
            <w:right w:w="108" w:type="dxa"/>
          </w:tblCellMar>
        </w:tblPrEx>
        <w:trPr>
          <w:trHeight w:val="831"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auto"/>
                <w:kern w:val="0"/>
                <w:sz w:val="21"/>
                <w:szCs w:val="21"/>
                <w:highlight w:val="none"/>
                <w:lang w:val="en-US" w:eastAsia="zh-CN" w:bidi="ar"/>
              </w:rPr>
            </w:pPr>
            <w:r>
              <w:rPr>
                <w:rFonts w:hint="eastAsia" w:ascii="方正仿宋_GBK" w:hAnsi="方正仿宋_GBK" w:eastAsia="方正仿宋_GBK" w:cs="方正仿宋_GBK"/>
                <w:color w:val="auto"/>
                <w:kern w:val="0"/>
                <w:sz w:val="21"/>
                <w:szCs w:val="21"/>
                <w:highlight w:val="none"/>
                <w:lang w:val="en-US" w:eastAsia="zh-CN" w:bidi="ar"/>
              </w:rPr>
              <w:t>19</w:t>
            </w:r>
          </w:p>
        </w:tc>
        <w:tc>
          <w:tcPr>
            <w:tcW w:w="4666"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bCs/>
                <w:color w:val="auto"/>
                <w:sz w:val="21"/>
                <w:szCs w:val="21"/>
                <w:highlight w:val="none"/>
                <w:lang w:bidi="ar"/>
              </w:rPr>
              <w:t xml:space="preserve">本项目竞选报价的总价和各分部分项全费用综合单价设有最高限价，总价和各分部分项全费用综合单价均不得超过最高限价，否则按否决竞选处理。本项目竞选总价最高限价为人民币（小写） </w:t>
            </w:r>
            <w:r>
              <w:rPr>
                <w:rFonts w:hint="eastAsia" w:ascii="方正仿宋_GBK" w:hAnsi="方正仿宋_GBK" w:eastAsia="方正仿宋_GBK" w:cs="方正仿宋_GBK"/>
                <w:b/>
                <w:bCs/>
                <w:color w:val="auto"/>
                <w:sz w:val="21"/>
                <w:szCs w:val="21"/>
                <w:highlight w:val="none"/>
              </w:rPr>
              <w:t>282030.68元</w:t>
            </w:r>
            <w:r>
              <w:rPr>
                <w:rFonts w:hint="eastAsia" w:ascii="方正仿宋_GBK" w:hAnsi="方正仿宋_GBK" w:eastAsia="方正仿宋_GBK" w:cs="方正仿宋_GBK"/>
                <w:b/>
                <w:bCs/>
                <w:color w:val="auto"/>
                <w:sz w:val="21"/>
                <w:szCs w:val="21"/>
                <w:highlight w:val="none"/>
                <w:lang w:bidi="ar"/>
              </w:rPr>
              <w:t>，（大写：人民币</w:t>
            </w:r>
            <w:r>
              <w:rPr>
                <w:rFonts w:hint="eastAsia" w:ascii="方正仿宋_GBK" w:hAnsi="方正仿宋_GBK" w:eastAsia="方正仿宋_GBK" w:cs="方正仿宋_GBK"/>
                <w:b/>
                <w:bCs/>
                <w:color w:val="auto"/>
                <w:sz w:val="21"/>
                <w:szCs w:val="21"/>
                <w:highlight w:val="none"/>
                <w:lang w:eastAsia="zh-CN" w:bidi="ar"/>
              </w:rPr>
              <w:t>贰拾捌万贰仟零叁拾元陆角捌分</w:t>
            </w:r>
            <w:r>
              <w:rPr>
                <w:rFonts w:hint="eastAsia" w:ascii="方正仿宋_GBK" w:hAnsi="方正仿宋_GBK" w:eastAsia="方正仿宋_GBK" w:cs="方正仿宋_GBK"/>
                <w:b/>
                <w:bCs/>
                <w:color w:val="auto"/>
                <w:sz w:val="21"/>
                <w:szCs w:val="21"/>
                <w:highlight w:val="none"/>
                <w:lang w:bidi="ar"/>
              </w:rPr>
              <w:t>）</w:t>
            </w:r>
          </w:p>
        </w:tc>
      </w:tr>
    </w:tbl>
    <w:p>
      <w:pPr>
        <w:spacing w:line="360" w:lineRule="auto"/>
        <w:jc w:val="both"/>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pStyle w:val="2"/>
        <w:rPr>
          <w:rFonts w:hint="eastAsia" w:ascii="方正仿宋_GBK" w:hAnsi="方正仿宋_GBK" w:eastAsia="方正仿宋_GBK" w:cs="方正仿宋_GBK"/>
          <w:b/>
          <w:color w:val="auto"/>
          <w:sz w:val="44"/>
          <w:szCs w:val="44"/>
          <w:highlight w:val="none"/>
        </w:rPr>
      </w:pPr>
    </w:p>
    <w:p>
      <w:pPr>
        <w:pStyle w:val="3"/>
        <w:rPr>
          <w:rFonts w:hint="eastAsia" w:ascii="方正仿宋_GBK" w:hAnsi="方正仿宋_GBK" w:eastAsia="方正仿宋_GBK" w:cs="方正仿宋_GBK"/>
          <w:b/>
          <w:color w:val="auto"/>
          <w:sz w:val="44"/>
          <w:szCs w:val="44"/>
          <w:highlight w:val="none"/>
        </w:rPr>
      </w:pPr>
    </w:p>
    <w:p>
      <w:pPr>
        <w:rPr>
          <w:rFonts w:hint="eastAsia" w:ascii="方正仿宋_GBK" w:hAnsi="方正仿宋_GBK" w:eastAsia="方正仿宋_GBK" w:cs="方正仿宋_GBK"/>
          <w:b/>
          <w:color w:val="auto"/>
          <w:sz w:val="44"/>
          <w:szCs w:val="44"/>
          <w:highlight w:val="none"/>
        </w:rPr>
      </w:pPr>
    </w:p>
    <w:p>
      <w:pPr>
        <w:pStyle w:val="2"/>
        <w:rPr>
          <w:rFonts w:hint="eastAsia" w:ascii="方正仿宋_GBK" w:hAnsi="方正仿宋_GBK" w:eastAsia="方正仿宋_GBK" w:cs="方正仿宋_GBK"/>
          <w:b/>
          <w:color w:val="auto"/>
          <w:sz w:val="44"/>
          <w:szCs w:val="44"/>
          <w:highlight w:val="none"/>
        </w:rPr>
      </w:pPr>
    </w:p>
    <w:p>
      <w:pPr>
        <w:pStyle w:val="3"/>
        <w:rPr>
          <w:rFonts w:hint="eastAsia" w:ascii="方正仿宋_GBK" w:hAnsi="方正仿宋_GBK" w:eastAsia="方正仿宋_GBK" w:cs="方正仿宋_GBK"/>
          <w:b/>
          <w:color w:val="auto"/>
          <w:sz w:val="44"/>
          <w:szCs w:val="44"/>
          <w:highlight w:val="none"/>
        </w:rPr>
      </w:pPr>
    </w:p>
    <w:p>
      <w:pPr>
        <w:rPr>
          <w:rFonts w:hint="eastAsia" w:ascii="方正仿宋_GBK" w:hAnsi="方正仿宋_GBK" w:eastAsia="方正仿宋_GBK" w:cs="方正仿宋_GBK"/>
          <w:b/>
          <w:color w:val="auto"/>
          <w:sz w:val="44"/>
          <w:szCs w:val="44"/>
          <w:highlight w:val="none"/>
        </w:rPr>
      </w:pPr>
    </w:p>
    <w:p>
      <w:pPr>
        <w:pStyle w:val="2"/>
        <w:rPr>
          <w:rFonts w:hint="eastAsia" w:ascii="方正仿宋_GBK" w:hAnsi="方正仿宋_GBK" w:eastAsia="方正仿宋_GBK" w:cs="方正仿宋_GBK"/>
          <w:b/>
          <w:color w:val="auto"/>
          <w:sz w:val="44"/>
          <w:szCs w:val="44"/>
          <w:highlight w:val="none"/>
        </w:rPr>
      </w:pPr>
    </w:p>
    <w:p>
      <w:pPr>
        <w:rPr>
          <w:rFonts w:hint="eastAsia"/>
          <w:highlight w:val="none"/>
        </w:rPr>
      </w:pPr>
    </w:p>
    <w:p>
      <w:pPr>
        <w:spacing w:line="360" w:lineRule="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二、资格文件</w:t>
      </w:r>
      <w:bookmarkStart w:id="75" w:name="_Toc95464839"/>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（一）营业执照副本复印件</w:t>
      </w:r>
      <w:bookmarkEnd w:id="75"/>
      <w:r>
        <w:rPr>
          <w:rFonts w:hint="eastAsia" w:ascii="方正仿宋_GBK" w:hAnsi="方正仿宋_GBK" w:eastAsia="方正仿宋_GBK" w:cs="方正仿宋_GBK"/>
          <w:sz w:val="28"/>
          <w:szCs w:val="28"/>
          <w:highlight w:val="none"/>
        </w:rPr>
        <w:t>（加盖公章）</w:t>
      </w:r>
    </w:p>
    <w:p>
      <w:pPr>
        <w:pStyle w:val="2"/>
        <w:rPr>
          <w:rFonts w:hint="eastAsia" w:ascii="方正仿宋_GBK" w:hAnsi="方正仿宋_GBK" w:eastAsia="方正仿宋_GBK" w:cs="方正仿宋_GBK"/>
          <w:b/>
          <w:color w:val="auto"/>
          <w:sz w:val="44"/>
          <w:szCs w:val="44"/>
          <w:highlight w:val="none"/>
        </w:rPr>
      </w:pPr>
    </w:p>
    <w:p>
      <w:pPr>
        <w:pStyle w:val="3"/>
        <w:rPr>
          <w:rFonts w:hint="eastAsia" w:ascii="方正仿宋_GBK" w:hAnsi="方正仿宋_GBK" w:eastAsia="方正仿宋_GBK" w:cs="方正仿宋_GBK"/>
          <w:b/>
          <w:color w:val="auto"/>
          <w:sz w:val="44"/>
          <w:szCs w:val="44"/>
          <w:highlight w:val="none"/>
        </w:rPr>
      </w:pPr>
    </w:p>
    <w:p>
      <w:pPr>
        <w:rPr>
          <w:rFonts w:hint="eastAsia" w:ascii="方正仿宋_GBK" w:hAnsi="方正仿宋_GBK" w:eastAsia="方正仿宋_GBK" w:cs="方正仿宋_GBK"/>
          <w:b/>
          <w:color w:val="auto"/>
          <w:sz w:val="44"/>
          <w:szCs w:val="44"/>
          <w:highlight w:val="none"/>
        </w:rPr>
      </w:pPr>
    </w:p>
    <w:p>
      <w:pPr>
        <w:pStyle w:val="2"/>
        <w:rPr>
          <w:rFonts w:hint="eastAsia" w:ascii="方正仿宋_GBK" w:hAnsi="方正仿宋_GBK" w:eastAsia="方正仿宋_GBK" w:cs="方正仿宋_GBK"/>
          <w:b/>
          <w:color w:val="auto"/>
          <w:sz w:val="44"/>
          <w:szCs w:val="44"/>
          <w:highlight w:val="none"/>
        </w:rPr>
      </w:pPr>
    </w:p>
    <w:p>
      <w:pPr>
        <w:pStyle w:val="3"/>
        <w:rPr>
          <w:rFonts w:hint="eastAsia" w:ascii="方正仿宋_GBK" w:hAnsi="方正仿宋_GBK" w:eastAsia="方正仿宋_GBK" w:cs="方正仿宋_GBK"/>
          <w:b/>
          <w:color w:val="auto"/>
          <w:sz w:val="44"/>
          <w:szCs w:val="44"/>
          <w:highlight w:val="none"/>
        </w:rPr>
      </w:pPr>
    </w:p>
    <w:p>
      <w:pPr>
        <w:rPr>
          <w:rFonts w:hint="eastAsia" w:ascii="方正仿宋_GBK" w:hAnsi="方正仿宋_GBK" w:eastAsia="方正仿宋_GBK" w:cs="方正仿宋_GBK"/>
          <w:b/>
          <w:color w:val="auto"/>
          <w:sz w:val="44"/>
          <w:szCs w:val="44"/>
          <w:highlight w:val="none"/>
        </w:rPr>
      </w:pPr>
    </w:p>
    <w:p>
      <w:pPr>
        <w:pStyle w:val="2"/>
        <w:rPr>
          <w:rFonts w:hint="eastAsia" w:ascii="方正仿宋_GBK" w:hAnsi="方正仿宋_GBK" w:eastAsia="方正仿宋_GBK" w:cs="方正仿宋_GBK"/>
          <w:b/>
          <w:color w:val="auto"/>
          <w:sz w:val="44"/>
          <w:szCs w:val="44"/>
          <w:highlight w:val="none"/>
        </w:rPr>
      </w:pPr>
    </w:p>
    <w:p>
      <w:pPr>
        <w:pStyle w:val="3"/>
        <w:rPr>
          <w:rFonts w:hint="eastAsia" w:ascii="方正仿宋_GBK" w:hAnsi="方正仿宋_GBK" w:eastAsia="方正仿宋_GBK" w:cs="方正仿宋_GBK"/>
          <w:b/>
          <w:color w:val="auto"/>
          <w:sz w:val="44"/>
          <w:szCs w:val="44"/>
          <w:highlight w:val="none"/>
        </w:rPr>
      </w:pPr>
    </w:p>
    <w:p>
      <w:pPr>
        <w:rPr>
          <w:rFonts w:hint="eastAsia" w:ascii="方正仿宋_GBK" w:hAnsi="方正仿宋_GBK" w:eastAsia="方正仿宋_GBK" w:cs="方正仿宋_GBK"/>
          <w:b/>
          <w:color w:val="auto"/>
          <w:sz w:val="44"/>
          <w:szCs w:val="44"/>
          <w:highlight w:val="none"/>
        </w:rPr>
      </w:pPr>
    </w:p>
    <w:p>
      <w:pPr>
        <w:pStyle w:val="2"/>
        <w:rPr>
          <w:rFonts w:hint="eastAsia" w:ascii="方正仿宋_GBK" w:hAnsi="方正仿宋_GBK" w:eastAsia="方正仿宋_GBK" w:cs="方正仿宋_GBK"/>
          <w:b/>
          <w:color w:val="auto"/>
          <w:sz w:val="44"/>
          <w:szCs w:val="44"/>
          <w:highlight w:val="none"/>
        </w:rPr>
      </w:pPr>
    </w:p>
    <w:p>
      <w:pPr>
        <w:pStyle w:val="3"/>
        <w:rPr>
          <w:rFonts w:hint="eastAsia" w:ascii="方正仿宋_GBK" w:hAnsi="方正仿宋_GBK" w:eastAsia="方正仿宋_GBK" w:cs="方正仿宋_GBK"/>
          <w:b/>
          <w:color w:val="auto"/>
          <w:sz w:val="44"/>
          <w:szCs w:val="44"/>
          <w:highlight w:val="none"/>
        </w:rPr>
      </w:pPr>
    </w:p>
    <w:p>
      <w:pPr>
        <w:rPr>
          <w:rFonts w:hint="eastAsia" w:ascii="方正仿宋_GBK" w:hAnsi="方正仿宋_GBK" w:eastAsia="方正仿宋_GBK" w:cs="方正仿宋_GBK"/>
          <w:b/>
          <w:color w:val="auto"/>
          <w:sz w:val="44"/>
          <w:szCs w:val="44"/>
          <w:highlight w:val="none"/>
        </w:rPr>
      </w:pPr>
    </w:p>
    <w:p>
      <w:pPr>
        <w:pStyle w:val="2"/>
        <w:rPr>
          <w:rFonts w:hint="eastAsia" w:ascii="方正仿宋_GBK" w:hAnsi="方正仿宋_GBK" w:eastAsia="方正仿宋_GBK" w:cs="方正仿宋_GBK"/>
          <w:b/>
          <w:color w:val="auto"/>
          <w:sz w:val="44"/>
          <w:szCs w:val="44"/>
          <w:highlight w:val="none"/>
        </w:rPr>
      </w:pPr>
    </w:p>
    <w:p>
      <w:pPr>
        <w:bidi w:val="0"/>
        <w:rPr>
          <w:rFonts w:hint="eastAsia"/>
          <w:highlight w:val="none"/>
        </w:rPr>
      </w:pPr>
      <w:bookmarkStart w:id="76" w:name="_Toc95464840"/>
    </w:p>
    <w:p>
      <w:pPr>
        <w:pStyle w:val="2"/>
        <w:rPr>
          <w:rFonts w:hint="eastAsia"/>
          <w:highlight w:val="none"/>
        </w:rPr>
      </w:pPr>
    </w:p>
    <w:p>
      <w:pPr>
        <w:pStyle w:val="3"/>
        <w:rPr>
          <w:rFonts w:hint="eastAsia"/>
          <w:highlight w:val="none"/>
        </w:rPr>
      </w:pPr>
    </w:p>
    <w:p>
      <w:pPr>
        <w:pStyle w:val="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（二）法定代表人身份证明</w:t>
      </w:r>
      <w:bookmarkEnd w:id="76"/>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采购项目名称：</w:t>
      </w:r>
      <w:r>
        <w:rPr>
          <w:rFonts w:hint="eastAsia" w:ascii="方正仿宋_GBK" w:hAnsi="方正仿宋_GBK" w:eastAsia="方正仿宋_GBK" w:cs="方正仿宋_GBK"/>
          <w:sz w:val="28"/>
          <w:szCs w:val="28"/>
          <w:highlight w:val="none"/>
          <w:u w:val="single"/>
        </w:rPr>
        <w:t xml:space="preserve">                                                 </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360" w:lineRule="auto"/>
        <w:ind w:firstLine="1120" w:firstLineChars="4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（法定代表人姓名）在</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（竞选人名称）任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（职务名称）职务，是（竞选人名称）</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的法定代表人。</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特此证明。</w:t>
      </w:r>
    </w:p>
    <w:p>
      <w:pPr>
        <w:pStyle w:val="2"/>
        <w:spacing w:line="360" w:lineRule="auto"/>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（附：法定代表人身份证正反双面复印件）</w:t>
      </w:r>
    </w:p>
    <w:tbl>
      <w:tblPr>
        <w:tblStyle w:val="47"/>
        <w:tblW w:w="5338" w:type="pct"/>
        <w:jc w:val="center"/>
        <w:tblLayout w:type="autofit"/>
        <w:tblCellMar>
          <w:top w:w="0" w:type="dxa"/>
          <w:left w:w="108" w:type="dxa"/>
          <w:bottom w:w="0" w:type="dxa"/>
          <w:right w:w="108" w:type="dxa"/>
        </w:tblCellMar>
      </w:tblPr>
      <w:tblGrid>
        <w:gridCol w:w="4548"/>
        <w:gridCol w:w="4550"/>
      </w:tblGrid>
      <w:tr>
        <w:tblPrEx>
          <w:tblCellMar>
            <w:top w:w="0" w:type="dxa"/>
            <w:left w:w="108" w:type="dxa"/>
            <w:bottom w:w="0" w:type="dxa"/>
            <w:right w:w="108" w:type="dxa"/>
          </w:tblCellMar>
        </w:tblPrEx>
        <w:trPr>
          <w:trHeight w:val="3307" w:hRule="atLeast"/>
          <w:jc w:val="center"/>
        </w:trPr>
        <w:tc>
          <w:tcPr>
            <w:tcW w:w="2499" w:type="pct"/>
            <w:noWrap w:val="0"/>
            <w:vAlign w:val="top"/>
          </w:tcPr>
          <w:p>
            <w:pPr>
              <w:pStyle w:val="334"/>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54610</wp:posOffset>
                      </wp:positionH>
                      <wp:positionV relativeFrom="paragraph">
                        <wp:posOffset>318135</wp:posOffset>
                      </wp:positionV>
                      <wp:extent cx="2568575" cy="1757045"/>
                      <wp:effectExtent l="5080" t="4445" r="17145" b="10160"/>
                      <wp:wrapNone/>
                      <wp:docPr id="16" name="文本框 16"/>
                      <wp:cNvGraphicFramePr/>
                      <a:graphic xmlns:a="http://schemas.openxmlformats.org/drawingml/2006/main">
                        <a:graphicData uri="http://schemas.microsoft.com/office/word/2010/wordprocessingShape">
                          <wps:wsp>
                            <wps:cNvSpPr txBox="1"/>
                            <wps:spPr>
                              <a:xfrm>
                                <a:off x="0" y="0"/>
                                <a:ext cx="2568272" cy="1757238"/>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5.05pt;height:138.35pt;width:202.25pt;z-index:251664384;mso-width-relative:page;mso-height-relative:page;" fillcolor="#FFFFFF" filled="t" stroked="t" coordsize="21600,21600" o:gfxdata="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Ibpd1QAAAAgBAAAPAAAAAAAAAAEAIAAAACIAAABkcnMvZG93bnJldi54bWxQSwECFAAUAAAACACH&#10;TuJAxZ0A52ACAADIBAAADgAAAAAAAAABACAAAAAkAQAAZHJzL2Uyb0RvYy54bWxQSwUGAAAAAAYA&#10;BgBZAQAA9gUAAAAA&#10;">
                      <v:fill on="t" focussize="0,0"/>
                      <v:stroke weight="0.5pt" color="#000000" joinstyle="round"/>
                      <v:imagedata o:title=""/>
                      <o:lock v:ext="edit" aspectratio="f"/>
                      <v:textbox>
                        <w:txbxContent>
                          <w:p/>
                        </w:txbxContent>
                      </v:textbox>
                    </v:shape>
                  </w:pict>
                </mc:Fallback>
              </mc:AlternateContent>
            </w:r>
            <w:r>
              <w:rPr>
                <w:rFonts w:hint="eastAsia" w:ascii="方正仿宋_GBK" w:hAnsi="方正仿宋_GBK" w:eastAsia="方正仿宋_GBK" w:cs="方正仿宋_GBK"/>
                <w:sz w:val="24"/>
                <w:szCs w:val="24"/>
                <w:highlight w:val="none"/>
              </w:rPr>
              <w:t>此处粘贴“法定代表人身份证正面复印件”</w:t>
            </w:r>
          </w:p>
          <w:p>
            <w:pPr>
              <w:pStyle w:val="334"/>
              <w:spacing w:line="360" w:lineRule="auto"/>
              <w:rPr>
                <w:rFonts w:hint="eastAsia" w:ascii="方正仿宋_GBK" w:hAnsi="方正仿宋_GBK" w:eastAsia="方正仿宋_GBK" w:cs="方正仿宋_GBK"/>
                <w:sz w:val="28"/>
                <w:szCs w:val="28"/>
                <w:highlight w:val="none"/>
              </w:rPr>
            </w:pPr>
          </w:p>
        </w:tc>
        <w:tc>
          <w:tcPr>
            <w:tcW w:w="2500" w:type="pct"/>
            <w:noWrap w:val="0"/>
            <w:vAlign w:val="top"/>
          </w:tcPr>
          <w:p>
            <w:pPr>
              <w:pStyle w:val="334"/>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332740</wp:posOffset>
                      </wp:positionV>
                      <wp:extent cx="2520315" cy="1757045"/>
                      <wp:effectExtent l="5080" t="4445" r="8255" b="10160"/>
                      <wp:wrapNone/>
                      <wp:docPr id="17" name="文本框 17"/>
                      <wp:cNvGraphicFramePr/>
                      <a:graphic xmlns:a="http://schemas.openxmlformats.org/drawingml/2006/main">
                        <a:graphicData uri="http://schemas.microsoft.com/office/word/2010/wordprocessingShape">
                          <wps:wsp>
                            <wps:cNvSpPr txBox="1"/>
                            <wps:spPr>
                              <a:xfrm>
                                <a:off x="0" y="0"/>
                                <a:ext cx="2520564" cy="1757045"/>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26.2pt;height:138.35pt;width:198.45pt;z-index:251665408;mso-width-relative:page;mso-height-relative:page;" fillcolor="#FFFFFF" filled="t" stroked="t" coordsize="21600,21600" o:gfxdata="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S&#10;wQNf1QAAAAkBAAAPAAAAAAAAAAEAIAAAACIAAABkcnMvZG93bnJldi54bWxQSwECFAAUAAAACACH&#10;TuJA5I/Qs2ACAADIBAAADgAAAAAAAAABACAAAAAkAQAAZHJzL2Uyb0RvYy54bWxQSwUGAAAAAAYA&#10;BgBZAQAA9gUAAAAA&#10;">
                      <v:fill on="t" focussize="0,0"/>
                      <v:stroke weight="0.5pt" color="#000000" joinstyle="round"/>
                      <v:imagedata o:title=""/>
                      <o:lock v:ext="edit" aspectratio="f"/>
                      <v:textbox>
                        <w:txbxContent>
                          <w:p/>
                        </w:txbxContent>
                      </v:textbox>
                    </v:shape>
                  </w:pict>
                </mc:Fallback>
              </mc:AlternateContent>
            </w:r>
            <w:r>
              <w:rPr>
                <w:rFonts w:hint="eastAsia" w:ascii="方正仿宋_GBK" w:hAnsi="方正仿宋_GBK" w:eastAsia="方正仿宋_GBK" w:cs="方正仿宋_GBK"/>
                <w:sz w:val="24"/>
                <w:szCs w:val="24"/>
                <w:highlight w:val="none"/>
              </w:rPr>
              <w:t>此处粘贴“法定代表人身份证反面复印件”</w:t>
            </w:r>
          </w:p>
          <w:p>
            <w:pPr>
              <w:pStyle w:val="334"/>
              <w:spacing w:line="360" w:lineRule="auto"/>
              <w:rPr>
                <w:rFonts w:hint="eastAsia" w:ascii="方正仿宋_GBK" w:hAnsi="方正仿宋_GBK" w:eastAsia="方正仿宋_GBK" w:cs="方正仿宋_GBK"/>
                <w:sz w:val="28"/>
                <w:szCs w:val="28"/>
                <w:highlight w:val="none"/>
              </w:rPr>
            </w:pPr>
          </w:p>
        </w:tc>
      </w:tr>
    </w:tbl>
    <w:p>
      <w:pPr>
        <w:pStyle w:val="2"/>
        <w:spacing w:line="360" w:lineRule="auto"/>
        <w:jc w:val="both"/>
        <w:rPr>
          <w:rFonts w:hint="eastAsia" w:ascii="方正仿宋_GBK" w:hAnsi="方正仿宋_GBK" w:eastAsia="方正仿宋_GBK" w:cs="方正仿宋_GBK"/>
          <w:sz w:val="28"/>
          <w:szCs w:val="28"/>
          <w:highlight w:val="none"/>
        </w:rPr>
      </w:pPr>
    </w:p>
    <w:p>
      <w:pPr>
        <w:pStyle w:val="2"/>
        <w:spacing w:line="360" w:lineRule="auto"/>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（盖章）</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p>
    <w:p>
      <w:pPr>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pStyle w:val="2"/>
        <w:spacing w:line="360" w:lineRule="auto"/>
        <w:rPr>
          <w:rFonts w:hint="eastAsia" w:ascii="方正仿宋_GBK" w:hAnsi="方正仿宋_GBK" w:eastAsia="方正仿宋_GBK" w:cs="方正仿宋_GBK"/>
          <w:sz w:val="28"/>
          <w:szCs w:val="28"/>
          <w:highlight w:val="none"/>
        </w:rPr>
      </w:pPr>
    </w:p>
    <w:p>
      <w:pPr>
        <w:pStyle w:val="5"/>
        <w:rPr>
          <w:rFonts w:hint="eastAsia" w:ascii="方正仿宋_GBK" w:hAnsi="方正仿宋_GBK" w:eastAsia="方正仿宋_GBK" w:cs="方正仿宋_GBK"/>
          <w:sz w:val="28"/>
          <w:szCs w:val="28"/>
          <w:highlight w:val="none"/>
        </w:rPr>
      </w:pPr>
      <w:bookmarkStart w:id="77" w:name="_Toc95464841"/>
      <w:r>
        <w:rPr>
          <w:rFonts w:hint="eastAsia" w:ascii="方正仿宋_GBK" w:hAnsi="方正仿宋_GBK" w:eastAsia="方正仿宋_GBK" w:cs="方正仿宋_GBK"/>
          <w:sz w:val="28"/>
          <w:szCs w:val="28"/>
          <w:highlight w:val="none"/>
        </w:rPr>
        <w:br w:type="page"/>
      </w:r>
    </w:p>
    <w:p>
      <w:pPr>
        <w:pStyle w:val="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（三）法定代表人授权委托书</w:t>
      </w:r>
      <w:bookmarkEnd w:id="77"/>
    </w:p>
    <w:p>
      <w:pPr>
        <w:tabs>
          <w:tab w:val="left" w:pos="6300"/>
        </w:tabs>
        <w:snapToGrid w:val="0"/>
        <w:spacing w:line="560" w:lineRule="exac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采购项目名称：</w:t>
      </w:r>
      <w:r>
        <w:rPr>
          <w:rFonts w:hint="eastAsia" w:ascii="方正仿宋_GBK" w:hAnsi="方正仿宋_GBK" w:eastAsia="方正仿宋_GBK" w:cs="方正仿宋_GBK"/>
          <w:sz w:val="28"/>
          <w:szCs w:val="28"/>
          <w:highlight w:val="none"/>
          <w:u w:val="single"/>
        </w:rPr>
        <w:t xml:space="preserve">                                         </w:t>
      </w:r>
    </w:p>
    <w:p>
      <w:pPr>
        <w:tabs>
          <w:tab w:val="left" w:pos="6300"/>
        </w:tabs>
        <w:snapToGrid w:val="0"/>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（竞选人法定代表人名称）是</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（竞选人名称）的法定代表人，特授权</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（被授权人姓名和身份证号）代表我单位全权办理上述项目的竞选、谈判、签约等具体工作，并签署全部有关文件、协议及合同。</w:t>
      </w:r>
    </w:p>
    <w:p>
      <w:pPr>
        <w:tabs>
          <w:tab w:val="left" w:pos="6300"/>
        </w:tabs>
        <w:snapToGrid w:val="0"/>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我单位对被授权人的签名负全部责任。</w:t>
      </w:r>
    </w:p>
    <w:p>
      <w:pPr>
        <w:tabs>
          <w:tab w:val="left" w:pos="6300"/>
        </w:tabs>
        <w:snapToGrid w:val="0"/>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在撤消授权的书面通知以前，本授权书一直有效。被授权人在授权书有效期内签署的所有文件不因授权的撤消而失效。</w:t>
      </w:r>
    </w:p>
    <w:p>
      <w:pPr>
        <w:tabs>
          <w:tab w:val="left" w:pos="6300"/>
        </w:tabs>
        <w:snapToGrid w:val="0"/>
        <w:spacing w:line="560" w:lineRule="exact"/>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被授权人签名：               竞选人法定代表人签名：</w:t>
      </w:r>
    </w:p>
    <w:p>
      <w:pPr>
        <w:tabs>
          <w:tab w:val="left" w:pos="6300"/>
        </w:tabs>
        <w:snapToGrid w:val="0"/>
        <w:spacing w:line="560" w:lineRule="exact"/>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（附：被授权人身份证正反双面复印件）</w:t>
      </w:r>
    </w:p>
    <w:tbl>
      <w:tblPr>
        <w:tblStyle w:val="47"/>
        <w:tblW w:w="5338" w:type="pct"/>
        <w:jc w:val="center"/>
        <w:tblLayout w:type="autofit"/>
        <w:tblCellMar>
          <w:top w:w="0" w:type="dxa"/>
          <w:left w:w="108" w:type="dxa"/>
          <w:bottom w:w="0" w:type="dxa"/>
          <w:right w:w="108" w:type="dxa"/>
        </w:tblCellMar>
      </w:tblPr>
      <w:tblGrid>
        <w:gridCol w:w="4548"/>
        <w:gridCol w:w="4550"/>
      </w:tblGrid>
      <w:tr>
        <w:tblPrEx>
          <w:tblCellMar>
            <w:top w:w="0" w:type="dxa"/>
            <w:left w:w="108" w:type="dxa"/>
            <w:bottom w:w="0" w:type="dxa"/>
            <w:right w:w="108" w:type="dxa"/>
          </w:tblCellMar>
        </w:tblPrEx>
        <w:trPr>
          <w:trHeight w:val="3247" w:hRule="atLeast"/>
          <w:jc w:val="center"/>
        </w:trPr>
        <w:tc>
          <w:tcPr>
            <w:tcW w:w="2499" w:type="pct"/>
            <w:noWrap w:val="0"/>
            <w:vAlign w:val="top"/>
          </w:tcPr>
          <w:p>
            <w:pPr>
              <w:pStyle w:val="334"/>
              <w:spacing w:line="56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此处粘贴“被授权人身份证正面复印件”</w:t>
            </w:r>
          </w:p>
          <w:p>
            <w:pPr>
              <w:pStyle w:val="334"/>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72390</wp:posOffset>
                      </wp:positionV>
                      <wp:extent cx="2625725" cy="1529080"/>
                      <wp:effectExtent l="4445" t="4445" r="17780" b="9525"/>
                      <wp:wrapNone/>
                      <wp:docPr id="11" name="文本框 11"/>
                      <wp:cNvGraphicFramePr/>
                      <a:graphic xmlns:a="http://schemas.openxmlformats.org/drawingml/2006/main">
                        <a:graphicData uri="http://schemas.microsoft.com/office/word/2010/wordprocessingShape">
                          <wps:wsp>
                            <wps:cNvSpPr txBox="1"/>
                            <wps:spPr>
                              <a:xfrm>
                                <a:off x="0" y="0"/>
                                <a:ext cx="2568272" cy="1757238"/>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5.7pt;height:120.4pt;width:206.75pt;z-index:251662336;mso-width-relative:page;mso-height-relative:page;" fillcolor="#FFFFFF" filled="t" stroked="t" coordsize="21600,21600" o:gfxdata="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Hz&#10;EOnVAAAACAEAAA8AAAAAAAAAAQAgAAAAIgAAAGRycy9kb3ducmV2LnhtbFBLAQIUABQAAAAIAIdO&#10;4kBhzAkyXwIAAMgEAAAOAAAAAAAAAAEAIAAAACQBAABkcnMvZTJvRG9jLnhtbFBLBQYAAAAABgAG&#10;AFkBAAD1BQAAAAA=&#10;">
                      <v:fill on="t" focussize="0,0"/>
                      <v:stroke weight="0.5pt" color="#000000" joinstyle="round"/>
                      <v:imagedata o:title=""/>
                      <o:lock v:ext="edit" aspectratio="f"/>
                      <v:textbox>
                        <w:txbxContent>
                          <w:p/>
                        </w:txbxContent>
                      </v:textbox>
                    </v:shape>
                  </w:pict>
                </mc:Fallback>
              </mc:AlternateContent>
            </w:r>
          </w:p>
        </w:tc>
        <w:tc>
          <w:tcPr>
            <w:tcW w:w="2500" w:type="pct"/>
            <w:noWrap w:val="0"/>
            <w:vAlign w:val="top"/>
          </w:tcPr>
          <w:p>
            <w:pPr>
              <w:pStyle w:val="334"/>
              <w:spacing w:line="56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此处粘贴“被授权人身份证反面复印件”</w:t>
            </w:r>
          </w:p>
          <w:p>
            <w:pPr>
              <w:pStyle w:val="334"/>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104775</wp:posOffset>
                      </wp:positionH>
                      <wp:positionV relativeFrom="paragraph">
                        <wp:posOffset>90805</wp:posOffset>
                      </wp:positionV>
                      <wp:extent cx="2492375" cy="1529715"/>
                      <wp:effectExtent l="4445" t="4445" r="17780" b="8890"/>
                      <wp:wrapNone/>
                      <wp:docPr id="12" name="文本框 12"/>
                      <wp:cNvGraphicFramePr/>
                      <a:graphic xmlns:a="http://schemas.openxmlformats.org/drawingml/2006/main">
                        <a:graphicData uri="http://schemas.microsoft.com/office/word/2010/wordprocessingShape">
                          <wps:wsp>
                            <wps:cNvSpPr txBox="1"/>
                            <wps:spPr>
                              <a:xfrm>
                                <a:off x="0" y="0"/>
                                <a:ext cx="2520564" cy="1757045"/>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7.15pt;height:120.45pt;width:196.25pt;z-index:251663360;mso-width-relative:page;mso-height-relative:page;" fillcolor="#FFFFFF" filled="t" stroked="t" coordsize="21600,21600" o:gfxdata="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CHps9YAAAAJAQAADwAAAAAAAAABACAAAAAiAAAAZHJzL2Rvd25yZXYueG1sUEsBAhQAFAAAAAgA&#10;h07iQFhTsjNgAgAAyAQAAA4AAAAAAAAAAQAgAAAAJQEAAGRycy9lMm9Eb2MueG1sUEsFBgAAAAAG&#10;AAYAWQEAAPcFAAAAAA==&#10;">
                      <v:fill on="t" focussize="0,0"/>
                      <v:stroke weight="0.5pt" color="#000000" joinstyle="round"/>
                      <v:imagedata o:title=""/>
                      <o:lock v:ext="edit" aspectratio="f"/>
                      <v:textbox>
                        <w:txbxContent>
                          <w:p/>
                        </w:txbxContent>
                      </v:textbox>
                    </v:shape>
                  </w:pict>
                </mc:Fallback>
              </mc:AlternateContent>
            </w:r>
          </w:p>
        </w:tc>
      </w:tr>
    </w:tbl>
    <w:p>
      <w:pPr>
        <w:tabs>
          <w:tab w:val="left" w:pos="6300"/>
        </w:tabs>
        <w:snapToGrid w:val="0"/>
        <w:spacing w:line="560" w:lineRule="exact"/>
        <w:rPr>
          <w:rFonts w:hint="eastAsia" w:ascii="方正仿宋_GBK" w:hAnsi="方正仿宋_GBK" w:eastAsia="方正仿宋_GBK" w:cs="方正仿宋_GBK"/>
          <w:sz w:val="28"/>
          <w:szCs w:val="28"/>
          <w:highlight w:val="none"/>
          <w:u w:val="single"/>
        </w:rPr>
      </w:pPr>
    </w:p>
    <w:p>
      <w:pPr>
        <w:tabs>
          <w:tab w:val="left" w:pos="6300"/>
        </w:tabs>
        <w:snapToGrid w:val="0"/>
        <w:spacing w:line="560" w:lineRule="exact"/>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（盖章）</w:t>
      </w:r>
    </w:p>
    <w:p>
      <w:pPr>
        <w:snapToGrid w:val="0"/>
        <w:spacing w:line="560" w:lineRule="exact"/>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snapToGrid w:val="0"/>
        <w:spacing w:line="360" w:lineRule="auto"/>
        <w:rPr>
          <w:rFonts w:hint="eastAsia" w:ascii="方正仿宋_GBK" w:hAnsi="方正仿宋_GBK" w:eastAsia="方正仿宋_GBK" w:cs="方正仿宋_GBK"/>
          <w:sz w:val="28"/>
          <w:szCs w:val="28"/>
          <w:highlight w:val="none"/>
        </w:rPr>
        <w:sectPr>
          <w:pgSz w:w="11906" w:h="16838"/>
          <w:pgMar w:top="1440" w:right="1800" w:bottom="1440" w:left="1800" w:header="851" w:footer="992" w:gutter="0"/>
          <w:cols w:space="720" w:num="1"/>
          <w:docGrid w:type="lines" w:linePitch="381" w:charSpace="0"/>
        </w:sectPr>
      </w:pPr>
    </w:p>
    <w:p>
      <w:pPr>
        <w:pStyle w:val="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eastAsia="zh-CN"/>
        </w:rPr>
        <w:t>四</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kern w:val="0"/>
          <w:sz w:val="30"/>
          <w:szCs w:val="30"/>
          <w:highlight w:val="none"/>
        </w:rPr>
        <w:t>诚信声明</w:t>
      </w:r>
    </w:p>
    <w:p>
      <w:pPr>
        <w:pStyle w:val="5"/>
        <w:spacing w:line="5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诚信声明</w:t>
      </w:r>
    </w:p>
    <w:p>
      <w:pPr>
        <w:pStyle w:val="5"/>
        <w:spacing w:line="5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（采购人名称）</w:t>
      </w:r>
    </w:p>
    <w:p>
      <w:pPr>
        <w:rPr>
          <w:rFonts w:hint="eastAsia" w:ascii="方正仿宋_GBK" w:hAnsi="方正仿宋_GBK" w:eastAsia="方正仿宋_GBK" w:cs="方正仿宋_GBK"/>
          <w:sz w:val="28"/>
          <w:szCs w:val="28"/>
          <w:highlight w:val="none"/>
        </w:rPr>
      </w:pPr>
    </w:p>
    <w:p>
      <w:pPr>
        <w:pStyle w:val="5"/>
        <w:spacing w:line="56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（竞选人名称）</w:t>
      </w:r>
      <w:r>
        <w:rPr>
          <w:rFonts w:hint="eastAsia" w:ascii="方正仿宋_GBK" w:hAnsi="方正仿宋_GBK" w:eastAsia="方正仿宋_GBK" w:cs="方正仿宋_GBK"/>
          <w:sz w:val="28"/>
          <w:szCs w:val="28"/>
          <w:highlight w:val="none"/>
        </w:rPr>
        <w:t>郑重声明，我公司具有良好的商业信誉和健全的财务会计制度，具有履行合同所必需的设备和专业技术能力，有依法缴纳税收和社会保障资金的良好记录，在合同签订前后随时愿意提供相关证明材料；符合</w:t>
      </w:r>
      <w:r>
        <w:rPr>
          <w:rFonts w:hint="eastAsia" w:ascii="方正仿宋_GBK" w:hAnsi="方正仿宋_GBK" w:eastAsia="方正仿宋_GBK" w:cs="方正仿宋_GBK"/>
          <w:sz w:val="28"/>
          <w:szCs w:val="28"/>
          <w:highlight w:val="none"/>
          <w:lang w:eastAsia="zh-CN"/>
        </w:rPr>
        <w:t>采购</w:t>
      </w:r>
      <w:r>
        <w:rPr>
          <w:rFonts w:hint="eastAsia" w:ascii="方正仿宋_GBK" w:hAnsi="方正仿宋_GBK" w:eastAsia="方正仿宋_GBK" w:cs="方正仿宋_GBK"/>
          <w:sz w:val="28"/>
          <w:szCs w:val="28"/>
          <w:highlight w:val="none"/>
        </w:rPr>
        <w:t>文件规定的供应商资格条件。我方对以上声明负全部法律责任。</w:t>
      </w:r>
    </w:p>
    <w:p>
      <w:pPr>
        <w:pStyle w:val="5"/>
        <w:spacing w:line="56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特此声明。</w:t>
      </w:r>
    </w:p>
    <w:p>
      <w:pPr>
        <w:pStyle w:val="5"/>
        <w:spacing w:line="560" w:lineRule="exact"/>
        <w:ind w:firstLine="560" w:firstLineChars="200"/>
        <w:jc w:val="left"/>
        <w:rPr>
          <w:rFonts w:hint="eastAsia" w:ascii="方正仿宋_GBK" w:hAnsi="方正仿宋_GBK" w:eastAsia="方正仿宋_GBK" w:cs="方正仿宋_GBK"/>
          <w:sz w:val="28"/>
          <w:szCs w:val="28"/>
          <w:highlight w:val="none"/>
        </w:rPr>
      </w:pPr>
    </w:p>
    <w:p>
      <w:pPr>
        <w:pStyle w:val="5"/>
        <w:spacing w:line="560" w:lineRule="exact"/>
        <w:ind w:firstLine="560" w:firstLineChars="200"/>
        <w:jc w:val="left"/>
        <w:rPr>
          <w:rFonts w:hint="eastAsia" w:ascii="方正仿宋_GBK" w:hAnsi="方正仿宋_GBK" w:eastAsia="方正仿宋_GBK" w:cs="方正仿宋_GBK"/>
          <w:sz w:val="28"/>
          <w:szCs w:val="28"/>
          <w:highlight w:val="none"/>
        </w:rPr>
      </w:pPr>
    </w:p>
    <w:p>
      <w:pPr>
        <w:pStyle w:val="5"/>
        <w:spacing w:line="560" w:lineRule="exact"/>
        <w:ind w:firstLine="1120" w:firstLineChars="400"/>
        <w:jc w:val="righ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（盖单位法人章）</w:t>
      </w:r>
      <w:r>
        <w:rPr>
          <w:rFonts w:hint="eastAsia" w:ascii="方正仿宋_GBK" w:hAnsi="方正仿宋_GBK" w:eastAsia="方正仿宋_GBK" w:cs="方正仿宋_GBK"/>
          <w:sz w:val="28"/>
          <w:szCs w:val="28"/>
          <w:highlight w:val="none"/>
          <w:u w:val="single"/>
        </w:rPr>
        <w:t xml:space="preserve">  </w:t>
      </w:r>
    </w:p>
    <w:p>
      <w:pPr>
        <w:pStyle w:val="5"/>
        <w:spacing w:line="560" w:lineRule="exact"/>
        <w:ind w:firstLine="5040" w:firstLineChars="18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日 </w:t>
      </w:r>
      <w:r>
        <w:rPr>
          <w:rFonts w:hint="eastAsia" w:ascii="方正仿宋_GBK" w:hAnsi="方正仿宋_GBK" w:eastAsia="方正仿宋_GBK" w:cs="方正仿宋_GBK"/>
          <w:sz w:val="28"/>
          <w:szCs w:val="28"/>
          <w:highlight w:val="none"/>
          <w:u w:val="single"/>
        </w:rPr>
        <w:br w:type="page"/>
      </w:r>
      <w:r>
        <w:rPr>
          <w:rFonts w:hint="eastAsia" w:ascii="方正仿宋_GBK" w:hAnsi="方正仿宋_GBK" w:eastAsia="方正仿宋_GBK" w:cs="方正仿宋_GBK"/>
          <w:sz w:val="28"/>
          <w:szCs w:val="28"/>
          <w:highlight w:val="none"/>
        </w:rPr>
        <w:t>（五）承诺书</w:t>
      </w:r>
    </w:p>
    <w:p>
      <w:pPr>
        <w:pStyle w:val="5"/>
        <w:spacing w:line="560" w:lineRule="exact"/>
        <w:jc w:val="center"/>
        <w:rPr>
          <w:rFonts w:hint="eastAsia" w:ascii="方正仿宋_GBK" w:hAnsi="方正仿宋_GBK" w:eastAsia="方正仿宋_GBK" w:cs="方正仿宋_GBK"/>
          <w:sz w:val="28"/>
          <w:szCs w:val="28"/>
          <w:highlight w:val="none"/>
        </w:rPr>
      </w:pPr>
    </w:p>
    <w:p>
      <w:pPr>
        <w:pStyle w:val="5"/>
        <w:spacing w:line="5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承诺书</w:t>
      </w:r>
    </w:p>
    <w:p>
      <w:pPr>
        <w:pStyle w:val="2"/>
        <w:spacing w:line="420" w:lineRule="exact"/>
        <w:ind w:firstLine="560" w:firstLineChars="200"/>
        <w:jc w:val="left"/>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1、我公司承诺，我公司未被人民法院列入失信被执行人名单且在被执行期内，若我公司被人民法院列入失信被执行人名单且在被执行期内但仍参加竞选，将被否决竞选；已取得中选候选人资格或中选资格的，采购人有权取消我公司中选候选人资格或中选资格；给采购人造成损失的，我公司依法承担违约赔偿责任；</w:t>
      </w:r>
    </w:p>
    <w:p>
      <w:pPr>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我公司承诺，我公司未被国家、重庆市（含市或任意区县）有关行政部门处以暂停投标资格行政处罚，且在处罚期限内，若我公司被国家、重庆市（含市或任意区县）有关行政部门处以暂停投标资格行政处罚，且在处罚期限内但仍参加竞选，将被否决竞选；已取得中选候选人资格或中选资格的，采购人有权取消我公司中选候选人资格或中选资格；给采购人造成损失的，我公司依法承担违约赔偿责任；</w:t>
      </w:r>
    </w:p>
    <w:p>
      <w:pPr>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我公司承诺，我公司未被重庆市市级有关行业主管部门暂停在渝承揽新业务且在暂停期内，若我公司被重庆市市级有关行业主管部门暂停在渝承揽新业务且在暂停期内但仍参加竞选，将被否决竞选；已取得中选候选人资格或中选资格的，采购人有权取消我公司中选候选人资格或中选资格；给采购人造成损失的，我公司依法承担违约赔偿责任；</w:t>
      </w:r>
    </w:p>
    <w:p>
      <w:pPr>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采购人有权进一步核查我公司所提供的竞选资料，若我公司存在提供虚假资料、无效资料、承诺与实际不符的行为，视为弄虚作假，采购人有权取消我公司中选资格或中选候选人资格，竞选保证金不予退还，同时列入</w:t>
      </w:r>
      <w:r>
        <w:rPr>
          <w:rFonts w:hint="eastAsia" w:ascii="方正仿宋_GBK" w:hAnsi="方正仿宋_GBK" w:eastAsia="方正仿宋_GBK" w:cs="方正仿宋_GBK"/>
          <w:sz w:val="28"/>
          <w:szCs w:val="28"/>
          <w:highlight w:val="none"/>
          <w:lang w:eastAsia="zh-CN"/>
        </w:rPr>
        <w:t>采购</w:t>
      </w:r>
      <w:r>
        <w:rPr>
          <w:rFonts w:hint="eastAsia" w:ascii="方正仿宋_GBK" w:hAnsi="方正仿宋_GBK" w:eastAsia="方正仿宋_GBK" w:cs="方正仿宋_GBK"/>
          <w:sz w:val="28"/>
          <w:szCs w:val="28"/>
          <w:highlight w:val="none"/>
        </w:rPr>
        <w:t>人的招标项目黑名单，限制参与</w:t>
      </w:r>
      <w:r>
        <w:rPr>
          <w:rFonts w:hint="eastAsia" w:ascii="方正仿宋_GBK" w:hAnsi="方正仿宋_GBK" w:eastAsia="方正仿宋_GBK" w:cs="方正仿宋_GBK"/>
          <w:sz w:val="28"/>
          <w:szCs w:val="28"/>
          <w:highlight w:val="none"/>
          <w:lang w:eastAsia="zh-CN"/>
        </w:rPr>
        <w:t>采购</w:t>
      </w:r>
      <w:r>
        <w:rPr>
          <w:rFonts w:hint="eastAsia" w:ascii="方正仿宋_GBK" w:hAnsi="方正仿宋_GBK" w:eastAsia="方正仿宋_GBK" w:cs="方正仿宋_GBK"/>
          <w:sz w:val="28"/>
          <w:szCs w:val="28"/>
          <w:highlight w:val="none"/>
        </w:rPr>
        <w:t>人的招标投标及相关活动，有黑名单成员的联合体投标受同样限制，黑名单的有效期 3 年。同时，</w:t>
      </w:r>
      <w:r>
        <w:rPr>
          <w:rFonts w:hint="eastAsia" w:ascii="方正仿宋_GBK" w:hAnsi="方正仿宋_GBK" w:eastAsia="方正仿宋_GBK" w:cs="方正仿宋_GBK"/>
          <w:sz w:val="28"/>
          <w:szCs w:val="28"/>
          <w:highlight w:val="none"/>
          <w:lang w:eastAsia="zh-CN"/>
        </w:rPr>
        <w:t>采购</w:t>
      </w:r>
      <w:r>
        <w:rPr>
          <w:rFonts w:hint="eastAsia" w:ascii="方正仿宋_GBK" w:hAnsi="方正仿宋_GBK" w:eastAsia="方正仿宋_GBK" w:cs="方正仿宋_GBK"/>
          <w:sz w:val="28"/>
          <w:szCs w:val="28"/>
          <w:highlight w:val="none"/>
        </w:rPr>
        <w:t>人有权向行政主管部门报告。</w:t>
      </w:r>
    </w:p>
    <w:p>
      <w:pPr>
        <w:pStyle w:val="3"/>
        <w:spacing w:line="420" w:lineRule="exact"/>
        <w:ind w:firstLine="560" w:firstLineChars="200"/>
        <w:rPr>
          <w:rFonts w:hint="eastAsia" w:ascii="方正仿宋_GBK" w:hAnsi="方正仿宋_GBK" w:eastAsia="方正仿宋_GBK" w:cs="方正仿宋_GBK"/>
          <w:b w:val="0"/>
          <w:bCs w:val="0"/>
          <w:sz w:val="28"/>
          <w:szCs w:val="28"/>
          <w:highlight w:val="none"/>
        </w:rPr>
      </w:pPr>
    </w:p>
    <w:p>
      <w:pPr>
        <w:snapToGrid w:val="0"/>
        <w:spacing w:line="420" w:lineRule="exact"/>
        <w:ind w:firstLine="560" w:firstLineChars="200"/>
        <w:jc w:val="right"/>
        <w:rPr>
          <w:rFonts w:hint="eastAsia" w:ascii="方正仿宋_GBK" w:hAnsi="方正仿宋_GBK" w:eastAsia="方正仿宋_GBK" w:cs="方正仿宋_GBK"/>
          <w:sz w:val="28"/>
          <w:szCs w:val="28"/>
          <w:highlight w:val="none"/>
        </w:rPr>
      </w:pPr>
    </w:p>
    <w:p>
      <w:pPr>
        <w:snapToGrid w:val="0"/>
        <w:spacing w:line="420" w:lineRule="exact"/>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（盖单位法人章） </w:t>
      </w:r>
    </w:p>
    <w:p>
      <w:pPr>
        <w:wordWrap w:val="0"/>
        <w:snapToGrid w:val="0"/>
        <w:spacing w:line="420" w:lineRule="exact"/>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法定代表人或其委托代理人：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（签名或盖章）  </w:t>
      </w:r>
    </w:p>
    <w:p>
      <w:pPr>
        <w:pStyle w:val="5"/>
        <w:spacing w:line="42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  </w:t>
      </w:r>
      <w:r>
        <w:rPr>
          <w:rFonts w:hint="eastAsia" w:ascii="方正仿宋_GBK" w:hAnsi="方正仿宋_GBK" w:eastAsia="方正仿宋_GBK" w:cs="方正仿宋_GBK"/>
          <w:sz w:val="28"/>
          <w:szCs w:val="28"/>
          <w:highlight w:val="none"/>
        </w:rPr>
        <w:br w:type="page"/>
      </w:r>
      <w:r>
        <w:rPr>
          <w:rFonts w:hint="eastAsia" w:ascii="方正仿宋_GBK" w:hAnsi="方正仿宋_GBK" w:eastAsia="方正仿宋_GBK" w:cs="方正仿宋_GBK"/>
          <w:sz w:val="28"/>
          <w:szCs w:val="28"/>
          <w:highlight w:val="none"/>
        </w:rPr>
        <w:t>（六）非联合体竞选声明</w:t>
      </w:r>
    </w:p>
    <w:p>
      <w:pPr>
        <w:tabs>
          <w:tab w:val="left" w:pos="6300"/>
        </w:tabs>
        <w:snapToGrid w:val="0"/>
        <w:spacing w:line="360" w:lineRule="auto"/>
        <w:rPr>
          <w:rFonts w:hint="eastAsia" w:ascii="方正仿宋_GBK" w:hAnsi="方正仿宋_GBK" w:eastAsia="方正仿宋_GBK" w:cs="方正仿宋_GBK"/>
          <w:sz w:val="28"/>
          <w:szCs w:val="28"/>
          <w:highlight w:val="none"/>
        </w:rPr>
      </w:pPr>
    </w:p>
    <w:p>
      <w:pPr>
        <w:tabs>
          <w:tab w:val="left" w:pos="6300"/>
        </w:tabs>
        <w:snapToGrid w:val="0"/>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采购项目名称：</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u w:val="single"/>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u w:val="single"/>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（竞选人名称）郑重声明，我公司是独立法人企业，针对本竞选项目，我公司承诺非联合体参与竞选。我方对以上声明负全部法律责任。</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特此声明。</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（盖单位法人章）</w:t>
      </w: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highlight w:val="none"/>
        </w:rPr>
      </w:pPr>
    </w:p>
    <w:p>
      <w:pPr>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pStyle w:val="3"/>
        <w:ind w:firstLine="0"/>
        <w:jc w:val="both"/>
        <w:rPr>
          <w:rFonts w:hint="eastAsia" w:ascii="方正仿宋_GBK" w:hAnsi="方正仿宋_GBK" w:eastAsia="方正仿宋_GBK" w:cs="方正仿宋_GBK"/>
          <w:b w:val="0"/>
          <w:bCs w:val="0"/>
          <w:sz w:val="28"/>
          <w:szCs w:val="28"/>
          <w:highlight w:val="none"/>
        </w:rPr>
      </w:pPr>
    </w:p>
    <w:p>
      <w:pPr>
        <w:rPr>
          <w:rFonts w:hint="eastAsia" w:ascii="方正仿宋_GBK" w:hAnsi="方正仿宋_GBK" w:eastAsia="方正仿宋_GBK" w:cs="方正仿宋_GBK"/>
          <w:b w:val="0"/>
          <w:bCs w:val="0"/>
          <w:sz w:val="28"/>
          <w:szCs w:val="28"/>
          <w:highlight w:val="none"/>
        </w:rPr>
      </w:pPr>
    </w:p>
    <w:p>
      <w:pPr>
        <w:pStyle w:val="2"/>
        <w:rPr>
          <w:rFonts w:hint="eastAsia" w:ascii="方正仿宋_GBK" w:hAnsi="方正仿宋_GBK" w:eastAsia="方正仿宋_GBK" w:cs="方正仿宋_GBK"/>
          <w:b w:val="0"/>
          <w:bCs w:val="0"/>
          <w:sz w:val="28"/>
          <w:szCs w:val="28"/>
          <w:highlight w:val="none"/>
        </w:rPr>
      </w:pPr>
    </w:p>
    <w:p>
      <w:pPr>
        <w:pStyle w:val="3"/>
        <w:rPr>
          <w:rFonts w:hint="eastAsia" w:ascii="方正仿宋_GBK" w:hAnsi="方正仿宋_GBK" w:eastAsia="方正仿宋_GBK" w:cs="方正仿宋_GBK"/>
          <w:b w:val="0"/>
          <w:bCs w:val="0"/>
          <w:sz w:val="28"/>
          <w:szCs w:val="28"/>
          <w:highlight w:val="none"/>
        </w:rPr>
      </w:pPr>
    </w:p>
    <w:p>
      <w:pPr>
        <w:rPr>
          <w:rFonts w:hint="eastAsia" w:ascii="方正仿宋_GBK" w:hAnsi="方正仿宋_GBK" w:eastAsia="方正仿宋_GBK" w:cs="方正仿宋_GBK"/>
          <w:b w:val="0"/>
          <w:bCs w:val="0"/>
          <w:sz w:val="28"/>
          <w:szCs w:val="28"/>
          <w:highlight w:val="none"/>
        </w:rPr>
      </w:pPr>
    </w:p>
    <w:p>
      <w:pPr>
        <w:spacing w:line="360" w:lineRule="auto"/>
        <w:jc w:val="left"/>
        <w:outlineLvl w:val="2"/>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（七）低价风险担保提交承诺书</w:t>
      </w:r>
    </w:p>
    <w:p>
      <w:pPr>
        <w:snapToGrid w:val="0"/>
        <w:spacing w:line="360" w:lineRule="auto"/>
        <w:ind w:firstLine="560" w:firstLineChars="200"/>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（竞选报价低于</w:t>
      </w:r>
      <w:r>
        <w:rPr>
          <w:rFonts w:hint="eastAsia" w:ascii="方正仿宋_GBK" w:hAnsi="方正仿宋_GBK" w:eastAsia="方正仿宋_GBK" w:cs="方正仿宋_GBK"/>
          <w:color w:val="auto"/>
          <w:sz w:val="28"/>
          <w:szCs w:val="28"/>
          <w:highlight w:val="none"/>
          <w:lang w:eastAsia="zh-CN"/>
        </w:rPr>
        <w:t>本</w:t>
      </w:r>
      <w:r>
        <w:rPr>
          <w:rFonts w:hint="eastAsia" w:ascii="方正仿宋_GBK" w:hAnsi="方正仿宋_GBK" w:eastAsia="方正仿宋_GBK" w:cs="方正仿宋_GBK"/>
          <w:color w:val="auto"/>
          <w:sz w:val="28"/>
          <w:szCs w:val="28"/>
          <w:highlight w:val="none"/>
        </w:rPr>
        <w:t>项目最高限价的85%时采用）</w:t>
      </w:r>
    </w:p>
    <w:p>
      <w:pPr>
        <w:tabs>
          <w:tab w:val="left" w:pos="6300"/>
        </w:tabs>
        <w:snapToGrid w:val="0"/>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采购项目名称：</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p>
    <w:p>
      <w:pPr>
        <w:snapToGrid w:val="0"/>
        <w:spacing w:line="360" w:lineRule="auto"/>
        <w:ind w:firstLine="560" w:firstLineChars="200"/>
        <w:jc w:val="left"/>
        <w:rPr>
          <w:rFonts w:hint="eastAsia" w:ascii="方正仿宋_GBK" w:hAnsi="方正仿宋_GBK" w:eastAsia="方正仿宋_GBK" w:cs="方正仿宋_GBK"/>
          <w:color w:val="auto"/>
          <w:sz w:val="28"/>
          <w:szCs w:val="28"/>
          <w:highlight w:val="none"/>
        </w:rPr>
      </w:pPr>
    </w:p>
    <w:p>
      <w:pPr>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我公司        （竞选人名称）参加了你单位        （项目名称）的竞选。我公司竞选报价低于最高限价的85%，若获得中选资格，我公司承诺按照</w:t>
      </w:r>
      <w:r>
        <w:rPr>
          <w:rFonts w:hint="eastAsia" w:ascii="方正仿宋_GBK" w:hAnsi="方正仿宋_GBK" w:eastAsia="方正仿宋_GBK" w:cs="方正仿宋_GBK"/>
          <w:color w:val="auto"/>
          <w:sz w:val="28"/>
          <w:szCs w:val="28"/>
          <w:highlight w:val="none"/>
          <w:lang w:eastAsia="zh-CN"/>
        </w:rPr>
        <w:t>采购</w:t>
      </w:r>
      <w:r>
        <w:rPr>
          <w:rFonts w:hint="eastAsia" w:ascii="方正仿宋_GBK" w:hAnsi="方正仿宋_GBK" w:eastAsia="方正仿宋_GBK" w:cs="方正仿宋_GBK"/>
          <w:color w:val="auto"/>
          <w:sz w:val="28"/>
          <w:szCs w:val="28"/>
          <w:highlight w:val="none"/>
        </w:rPr>
        <w:t>文件的规定递交低价风险担保。同时，我公司已落实低价风险担保的提交方案，承诺如采用保函形式提交低价风险担保，保函的格式和内容符合</w:t>
      </w:r>
      <w:r>
        <w:rPr>
          <w:rFonts w:hint="eastAsia" w:ascii="方正仿宋_GBK" w:hAnsi="方正仿宋_GBK" w:eastAsia="方正仿宋_GBK" w:cs="方正仿宋_GBK"/>
          <w:color w:val="auto"/>
          <w:sz w:val="28"/>
          <w:szCs w:val="28"/>
          <w:highlight w:val="none"/>
          <w:lang w:eastAsia="zh-CN"/>
        </w:rPr>
        <w:t>采购</w:t>
      </w:r>
      <w:r>
        <w:rPr>
          <w:rFonts w:hint="eastAsia" w:ascii="方正仿宋_GBK" w:hAnsi="方正仿宋_GBK" w:eastAsia="方正仿宋_GBK" w:cs="方正仿宋_GBK"/>
          <w:color w:val="auto"/>
          <w:sz w:val="28"/>
          <w:szCs w:val="28"/>
          <w:highlight w:val="none"/>
        </w:rPr>
        <w:t>文件的要求。否则，我公司愿承担</w:t>
      </w:r>
      <w:r>
        <w:rPr>
          <w:rFonts w:hint="eastAsia" w:ascii="方正仿宋_GBK" w:hAnsi="方正仿宋_GBK" w:eastAsia="方正仿宋_GBK" w:cs="方正仿宋_GBK"/>
          <w:color w:val="auto"/>
          <w:sz w:val="28"/>
          <w:szCs w:val="28"/>
          <w:highlight w:val="none"/>
          <w:lang w:eastAsia="zh-CN"/>
        </w:rPr>
        <w:t>采购</w:t>
      </w:r>
      <w:r>
        <w:rPr>
          <w:rFonts w:hint="eastAsia" w:ascii="方正仿宋_GBK" w:hAnsi="方正仿宋_GBK" w:eastAsia="方正仿宋_GBK" w:cs="方正仿宋_GBK"/>
          <w:color w:val="auto"/>
          <w:sz w:val="28"/>
          <w:szCs w:val="28"/>
          <w:highlight w:val="none"/>
        </w:rPr>
        <w:t>文件中约定的，因未按规定递交低价风险担保的相应责任。</w:t>
      </w: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特此承诺。</w:t>
      </w: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bookmarkStart w:id="78" w:name="_Toc26715"/>
      <w:bookmarkStart w:id="79" w:name="_Toc2870"/>
      <w:bookmarkStart w:id="80" w:name="_Toc1874"/>
      <w:bookmarkStart w:id="81" w:name="_Toc32740"/>
      <w:bookmarkStart w:id="82" w:name="_Toc18407"/>
      <w:bookmarkStart w:id="83" w:name="_Toc95464851"/>
      <w:bookmarkStart w:id="84" w:name="_Toc26997"/>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（盖单位法人章）</w:t>
      </w: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highlight w:val="none"/>
        </w:rPr>
      </w:pPr>
    </w:p>
    <w:p>
      <w:pPr>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bidi w:val="0"/>
        <w:rPr>
          <w:rFonts w:hint="eastAsia" w:ascii="方正仿宋_GBK" w:hAnsi="方正仿宋_GBK" w:eastAsia="方正仿宋_GBK" w:cs="方正仿宋_GBK"/>
          <w:b/>
          <w:bCs/>
          <w:highlight w:val="none"/>
        </w:rPr>
      </w:pPr>
    </w:p>
    <w:p>
      <w:pPr>
        <w:bidi w:val="0"/>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三、</w:t>
      </w:r>
      <w:bookmarkEnd w:id="78"/>
      <w:bookmarkEnd w:id="79"/>
      <w:bookmarkEnd w:id="80"/>
      <w:bookmarkEnd w:id="81"/>
      <w:bookmarkEnd w:id="82"/>
      <w:bookmarkEnd w:id="83"/>
      <w:bookmarkEnd w:id="84"/>
      <w:r>
        <w:rPr>
          <w:rFonts w:hint="eastAsia" w:ascii="方正仿宋_GBK" w:hAnsi="方正仿宋_GBK" w:eastAsia="方正仿宋_GBK" w:cs="方正仿宋_GBK"/>
          <w:b/>
          <w:bCs/>
          <w:highlight w:val="none"/>
        </w:rPr>
        <w:t>技术文件（服务方案）</w:t>
      </w:r>
    </w:p>
    <w:p>
      <w:pPr>
        <w:autoSpaceDE w:val="0"/>
        <w:autoSpaceDN w:val="0"/>
        <w:adjustRightInd w:val="0"/>
        <w:snapToGrid w:val="0"/>
        <w:spacing w:line="360" w:lineRule="auto"/>
        <w:jc w:val="center"/>
        <w:rPr>
          <w:rFonts w:hint="eastAsia" w:ascii="方正仿宋_GBK" w:hAnsi="方正仿宋_GBK" w:eastAsia="方正仿宋_GBK" w:cs="方正仿宋_GBK"/>
          <w:b/>
          <w:color w:val="auto"/>
          <w:kern w:val="0"/>
          <w:szCs w:val="28"/>
          <w:highlight w:val="none"/>
        </w:rPr>
      </w:pPr>
      <w:r>
        <w:rPr>
          <w:rFonts w:hint="eastAsia" w:ascii="方正仿宋_GBK" w:hAnsi="方正仿宋_GBK" w:eastAsia="方正仿宋_GBK" w:cs="方正仿宋_GBK"/>
          <w:b/>
          <w:color w:val="auto"/>
          <w:kern w:val="0"/>
          <w:szCs w:val="28"/>
          <w:highlight w:val="none"/>
        </w:rPr>
        <w:t>目     录</w:t>
      </w:r>
    </w:p>
    <w:p>
      <w:pPr>
        <w:autoSpaceDE w:val="0"/>
        <w:autoSpaceDN w:val="0"/>
        <w:adjustRightInd w:val="0"/>
        <w:snapToGrid w:val="0"/>
        <w:spacing w:line="36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[目录及内容由竞选人自行编制]</w:t>
      </w:r>
    </w:p>
    <w:p>
      <w:pPr>
        <w:pStyle w:val="3"/>
        <w:rPr>
          <w:rFonts w:hint="eastAsia"/>
          <w:highlight w:val="none"/>
        </w:rPr>
        <w:sectPr>
          <w:headerReference r:id="rId17" w:type="default"/>
          <w:footerReference r:id="rId18" w:type="default"/>
          <w:pgSz w:w="11906" w:h="16838"/>
          <w:pgMar w:top="1440" w:right="1800" w:bottom="1440" w:left="1800" w:header="851" w:footer="992" w:gutter="0"/>
          <w:cols w:space="720" w:num="1"/>
          <w:docGrid w:type="lines" w:linePitch="381" w:charSpace="0"/>
        </w:sectPr>
      </w:pPr>
    </w:p>
    <w:p>
      <w:pPr>
        <w:bidi w:val="0"/>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四、商务文件</w:t>
      </w:r>
      <w:bookmarkStart w:id="85" w:name="_Toc95464848"/>
    </w:p>
    <w:p>
      <w:pPr>
        <w:pStyle w:val="4"/>
        <w:spacing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bCs/>
          <w:sz w:val="28"/>
          <w:szCs w:val="28"/>
          <w:highlight w:val="none"/>
        </w:rPr>
        <w:t>（一）竞选函</w:t>
      </w:r>
      <w:bookmarkEnd w:id="85"/>
    </w:p>
    <w:p>
      <w:pPr>
        <w:spacing w:line="42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采购项目名称：</w:t>
      </w:r>
      <w:r>
        <w:rPr>
          <w:rFonts w:hint="eastAsia" w:ascii="方正仿宋_GBK" w:hAnsi="方正仿宋_GBK" w:eastAsia="方正仿宋_GBK" w:cs="方正仿宋_GBK"/>
          <w:sz w:val="28"/>
          <w:szCs w:val="28"/>
          <w:highlight w:val="none"/>
          <w:u w:val="single"/>
        </w:rPr>
        <w:t xml:space="preserve">                                                    </w:t>
      </w:r>
    </w:p>
    <w:p>
      <w:pPr>
        <w:tabs>
          <w:tab w:val="left" w:pos="6300"/>
        </w:tabs>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snapToGrid w:val="0"/>
        <w:spacing w:line="420" w:lineRule="exact"/>
        <w:ind w:firstLine="1120" w:firstLineChars="4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（竞选人名称）系中华人民共和国合法企业，注册地址：</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（竞选人注册地址）。我方就参加本次竞选有关事项郑重声明如下：</w:t>
      </w:r>
    </w:p>
    <w:p>
      <w:pPr>
        <w:tabs>
          <w:tab w:val="left" w:pos="6300"/>
        </w:tabs>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一、我方完全理解并接受该项目采购文件所有要求。</w:t>
      </w:r>
    </w:p>
    <w:p>
      <w:pPr>
        <w:tabs>
          <w:tab w:val="left" w:pos="6300"/>
        </w:tabs>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二、我方提交的所有竞选文件、资料都是准确和真实的，如有虚假或隐瞒，我方愿意承担一切法律责任。</w:t>
      </w:r>
    </w:p>
    <w:p>
      <w:pPr>
        <w:tabs>
          <w:tab w:val="left" w:pos="6300"/>
        </w:tabs>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三、我方承诺按照采购文件要求，提供采购项目的技术服务。</w:t>
      </w:r>
    </w:p>
    <w:p>
      <w:pPr>
        <w:tabs>
          <w:tab w:val="left" w:pos="6300"/>
        </w:tabs>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四、我方按采购文件要求提交的竞选文件：竞选文件正本1份，副本 2 份。</w:t>
      </w:r>
    </w:p>
    <w:p>
      <w:pPr>
        <w:tabs>
          <w:tab w:val="left" w:pos="6300"/>
        </w:tabs>
        <w:snapToGrid w:val="0"/>
        <w:spacing w:line="420" w:lineRule="exact"/>
        <w:ind w:firstLine="56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sz w:val="28"/>
          <w:szCs w:val="28"/>
          <w:highlight w:val="none"/>
        </w:rPr>
        <w:t>五、我方承诺：本次竞选的竞选有效期为90天。</w:t>
      </w:r>
    </w:p>
    <w:p>
      <w:pPr>
        <w:tabs>
          <w:tab w:val="left" w:pos="6300"/>
        </w:tabs>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六、我方竞选报价为包干价。即在竞选有效期和合同有效期内，该报价固定不变。</w:t>
      </w:r>
    </w:p>
    <w:p>
      <w:pPr>
        <w:tabs>
          <w:tab w:val="left" w:pos="6300"/>
        </w:tabs>
        <w:snapToGrid w:val="0"/>
        <w:spacing w:line="42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七、如果我方中选，我方将履行采购文件中规定的各项要求以及我方竞选文件的各项承诺，按《中华人民共和国民法典》及合同约定条款承担我方责任。</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（盖章）</w:t>
      </w:r>
    </w:p>
    <w:p>
      <w:pPr>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pStyle w:val="3"/>
        <w:ind w:left="0" w:leftChars="0" w:firstLine="0" w:firstLineChars="0"/>
        <w:rPr>
          <w:rFonts w:hint="eastAsia"/>
          <w:highlight w:val="none"/>
        </w:rPr>
      </w:pPr>
    </w:p>
    <w:p>
      <w:pPr>
        <w:pStyle w:val="3"/>
        <w:rPr>
          <w:rFonts w:hint="eastAsia"/>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autoSpaceDE w:val="0"/>
        <w:autoSpaceDN w:val="0"/>
        <w:adjustRightInd w:val="0"/>
        <w:spacing w:line="360" w:lineRule="auto"/>
        <w:jc w:val="center"/>
        <w:outlineLvl w:val="2"/>
        <w:rPr>
          <w:rFonts w:hint="eastAsia" w:ascii="方正仿宋_GBK" w:hAnsi="方正仿宋_GBK" w:eastAsia="方正仿宋_GBK" w:cs="方正仿宋_GBK"/>
          <w:b/>
          <w:bCs/>
          <w:color w:val="auto"/>
          <w:sz w:val="30"/>
          <w:szCs w:val="30"/>
          <w:highlight w:val="none"/>
        </w:rPr>
      </w:pPr>
    </w:p>
    <w:p>
      <w:pPr>
        <w:pStyle w:val="5"/>
        <w:jc w:val="center"/>
        <w:rPr>
          <w:rFonts w:hint="eastAsia" w:ascii="方正仿宋_GBK" w:hAnsi="方正仿宋_GBK" w:eastAsia="方正仿宋_GBK" w:cs="方正仿宋_GBK"/>
          <w:sz w:val="28"/>
          <w:szCs w:val="28"/>
          <w:highlight w:val="none"/>
        </w:rPr>
      </w:pPr>
      <w:bookmarkStart w:id="86" w:name="_Toc95464849"/>
      <w:r>
        <w:rPr>
          <w:rFonts w:hint="eastAsia" w:ascii="方正仿宋_GBK" w:hAnsi="方正仿宋_GBK" w:eastAsia="方正仿宋_GBK" w:cs="方正仿宋_GBK"/>
          <w:b/>
          <w:bCs/>
          <w:sz w:val="28"/>
          <w:szCs w:val="28"/>
          <w:highlight w:val="none"/>
        </w:rPr>
        <w:t>（二）竞选人基本情况</w:t>
      </w:r>
      <w:bookmarkEnd w:id="86"/>
    </w:p>
    <w:tbl>
      <w:tblPr>
        <w:tblStyle w:val="47"/>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3961"/>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项  目</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数据资料</w:t>
            </w: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sz w:val="28"/>
                <w:szCs w:val="28"/>
                <w:highlight w:val="none"/>
              </w:rPr>
              <w:t>公司名称</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b/>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b/>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企业类型</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rPr>
                <w:rFonts w:hint="eastAsia" w:ascii="方正仿宋_GBK" w:hAnsi="方正仿宋_GBK" w:eastAsia="方正仿宋_GBK" w:cs="方正仿宋_GBK"/>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rPr>
                <w:rFonts w:hint="eastAsia" w:ascii="方正仿宋_GBK" w:hAnsi="方正仿宋_GBK" w:eastAsia="方正仿宋_GBK" w:cs="方正仿宋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营业范围</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rPr>
                <w:rFonts w:hint="eastAsia" w:ascii="方正仿宋_GBK" w:hAnsi="方正仿宋_GBK" w:eastAsia="方正仿宋_GBK" w:cs="方正仿宋_GBK"/>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rPr>
                <w:rFonts w:hint="eastAsia" w:ascii="方正仿宋_GBK" w:hAnsi="方正仿宋_GBK" w:eastAsia="方正仿宋_GBK" w:cs="方正仿宋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注册资金</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rPr>
                <w:rFonts w:hint="eastAsia" w:ascii="方正仿宋_GBK" w:hAnsi="方正仿宋_GBK" w:eastAsia="方正仿宋_GBK" w:cs="方正仿宋_GBK"/>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334"/>
              <w:spacing w:line="360" w:lineRule="auto"/>
              <w:rPr>
                <w:rFonts w:hint="eastAsia" w:ascii="方正仿宋_GBK" w:hAnsi="方正仿宋_GBK" w:eastAsia="方正仿宋_GBK" w:cs="方正仿宋_GBK"/>
                <w:sz w:val="28"/>
                <w:szCs w:val="28"/>
                <w:highlight w:val="none"/>
              </w:rPr>
            </w:pPr>
          </w:p>
        </w:tc>
      </w:tr>
    </w:tbl>
    <w:p>
      <w:pPr>
        <w:tabs>
          <w:tab w:val="left" w:pos="6300"/>
        </w:tabs>
        <w:snapToGrid w:val="0"/>
        <w:spacing w:line="360" w:lineRule="auto"/>
        <w:rPr>
          <w:rFonts w:hint="eastAsia" w:ascii="方正仿宋_GBK" w:hAnsi="方正仿宋_GBK" w:eastAsia="方正仿宋_GBK" w:cs="方正仿宋_GBK"/>
          <w:sz w:val="28"/>
          <w:szCs w:val="28"/>
          <w:highlight w:val="none"/>
        </w:rPr>
      </w:pPr>
    </w:p>
    <w:p>
      <w:pPr>
        <w:tabs>
          <w:tab w:val="left" w:pos="1340"/>
        </w:tabs>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ab/>
      </w:r>
    </w:p>
    <w:p>
      <w:pPr>
        <w:pStyle w:val="2"/>
        <w:spacing w:line="360" w:lineRule="auto"/>
        <w:rPr>
          <w:rFonts w:hint="eastAsia" w:ascii="方正仿宋_GBK" w:hAnsi="方正仿宋_GBK" w:eastAsia="方正仿宋_GBK" w:cs="方正仿宋_GBK"/>
          <w:sz w:val="28"/>
          <w:szCs w:val="28"/>
          <w:highlight w:val="none"/>
        </w:rPr>
      </w:pP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（盖章）</w:t>
      </w:r>
    </w:p>
    <w:p>
      <w:pPr>
        <w:snapToGrid w:val="0"/>
        <w:spacing w:line="360" w:lineRule="auto"/>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spacing w:line="360" w:lineRule="auto"/>
        <w:jc w:val="both"/>
        <w:rPr>
          <w:rFonts w:hint="eastAsia" w:ascii="方正仿宋_GBK" w:hAnsi="方正仿宋_GBK" w:eastAsia="方正仿宋_GBK" w:cs="方正仿宋_GBK"/>
          <w:b/>
          <w:color w:val="auto"/>
          <w:sz w:val="44"/>
          <w:szCs w:val="44"/>
          <w:highlight w:val="none"/>
        </w:rPr>
      </w:pPr>
    </w:p>
    <w:p>
      <w:pPr>
        <w:pStyle w:val="2"/>
        <w:rPr>
          <w:rFonts w:hint="eastAsia" w:ascii="方正仿宋_GBK" w:hAnsi="方正仿宋_GBK" w:eastAsia="方正仿宋_GBK" w:cs="方正仿宋_GBK"/>
          <w:b/>
          <w:color w:val="auto"/>
          <w:sz w:val="44"/>
          <w:szCs w:val="44"/>
          <w:highlight w:val="none"/>
        </w:rPr>
      </w:pPr>
    </w:p>
    <w:p>
      <w:pPr>
        <w:pStyle w:val="3"/>
        <w:rPr>
          <w:rFonts w:hint="eastAsia"/>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pStyle w:val="5"/>
        <w:numPr>
          <w:ilvl w:val="0"/>
          <w:numId w:val="3"/>
        </w:numPr>
        <w:spacing w:line="400" w:lineRule="exact"/>
        <w:jc w:val="center"/>
        <w:rPr>
          <w:rFonts w:hint="eastAsia" w:ascii="方正仿宋_GBK" w:hAnsi="方正仿宋_GBK" w:eastAsia="方正仿宋_GBK" w:cs="方正仿宋_GBK"/>
          <w:b/>
          <w:bCs/>
          <w:sz w:val="28"/>
          <w:szCs w:val="28"/>
          <w:highlight w:val="none"/>
        </w:rPr>
      </w:pPr>
      <w:bookmarkStart w:id="87" w:name="_Toc95464850"/>
      <w:r>
        <w:rPr>
          <w:rFonts w:hint="eastAsia" w:ascii="方正仿宋_GBK" w:hAnsi="方正仿宋_GBK" w:eastAsia="方正仿宋_GBK" w:cs="方正仿宋_GBK"/>
          <w:b/>
          <w:bCs/>
          <w:sz w:val="28"/>
          <w:szCs w:val="28"/>
          <w:highlight w:val="none"/>
        </w:rPr>
        <w:t>商务条款差异表</w:t>
      </w:r>
      <w:bookmarkEnd w:id="87"/>
    </w:p>
    <w:p>
      <w:pPr>
        <w:pStyle w:val="5"/>
        <w:spacing w:line="400" w:lineRule="exact"/>
        <w:rPr>
          <w:rFonts w:hint="eastAsia" w:ascii="方正仿宋_GBK" w:hAnsi="方正仿宋_GBK" w:eastAsia="方正仿宋_GBK" w:cs="方正仿宋_GBK"/>
          <w:sz w:val="28"/>
          <w:szCs w:val="28"/>
          <w:highlight w:val="none"/>
        </w:rPr>
      </w:pPr>
    </w:p>
    <w:p>
      <w:pPr>
        <w:pStyle w:val="5"/>
        <w:spacing w:line="400" w:lineRule="exac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采购项目名称：</w:t>
      </w:r>
      <w:r>
        <w:rPr>
          <w:rFonts w:hint="eastAsia" w:ascii="方正仿宋_GBK" w:hAnsi="方正仿宋_GBK" w:eastAsia="方正仿宋_GBK" w:cs="方正仿宋_GBK"/>
          <w:sz w:val="28"/>
          <w:szCs w:val="28"/>
          <w:highlight w:val="none"/>
          <w:u w:val="single"/>
        </w:rPr>
        <w:t xml:space="preserve">                   </w:t>
      </w:r>
    </w:p>
    <w:p>
      <w:pPr>
        <w:spacing w:line="400" w:lineRule="exact"/>
        <w:rPr>
          <w:rFonts w:hint="eastAsia" w:ascii="方正仿宋_GBK" w:hAnsi="方正仿宋_GBK" w:eastAsia="方正仿宋_GBK" w:cs="方正仿宋_GBK"/>
          <w:sz w:val="28"/>
          <w:szCs w:val="28"/>
          <w:highlight w:val="none"/>
        </w:rPr>
      </w:pPr>
    </w:p>
    <w:tbl>
      <w:tblPr>
        <w:tblStyle w:val="47"/>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532"/>
        <w:gridCol w:w="3368"/>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2" w:type="dxa"/>
            <w:noWrap w:val="0"/>
            <w:vAlign w:val="center"/>
          </w:tcPr>
          <w:p>
            <w:pPr>
              <w:pStyle w:val="334"/>
              <w:spacing w:line="360" w:lineRule="exact"/>
              <w:jc w:val="center"/>
              <w:rPr>
                <w:rFonts w:hint="eastAsia" w:ascii="方正仿宋_GBK" w:hAnsi="方正仿宋_GBK" w:eastAsia="方正仿宋_GBK" w:cs="方正仿宋_GBK"/>
                <w:b/>
                <w:sz w:val="24"/>
                <w:szCs w:val="24"/>
                <w:highlight w:val="none"/>
              </w:rPr>
            </w:pPr>
            <w:bookmarkStart w:id="88" w:name="_Toc25510"/>
            <w:bookmarkStart w:id="89" w:name="_Toc16677"/>
            <w:bookmarkStart w:id="90" w:name="_Toc24904"/>
            <w:r>
              <w:rPr>
                <w:rFonts w:hint="eastAsia" w:ascii="方正仿宋_GBK" w:hAnsi="方正仿宋_GBK" w:eastAsia="方正仿宋_GBK" w:cs="方正仿宋_GBK"/>
                <w:b/>
                <w:sz w:val="24"/>
                <w:szCs w:val="24"/>
                <w:highlight w:val="none"/>
              </w:rPr>
              <w:t>序号</w:t>
            </w:r>
            <w:bookmarkEnd w:id="88"/>
            <w:bookmarkEnd w:id="89"/>
            <w:bookmarkEnd w:id="90"/>
          </w:p>
        </w:tc>
        <w:tc>
          <w:tcPr>
            <w:tcW w:w="3532" w:type="dxa"/>
            <w:noWrap w:val="0"/>
            <w:vAlign w:val="center"/>
          </w:tcPr>
          <w:p>
            <w:pPr>
              <w:pStyle w:val="334"/>
              <w:spacing w:line="360" w:lineRule="exact"/>
              <w:jc w:val="center"/>
              <w:rPr>
                <w:rFonts w:hint="eastAsia" w:ascii="方正仿宋_GBK" w:hAnsi="方正仿宋_GBK" w:eastAsia="方正仿宋_GBK" w:cs="方正仿宋_GBK"/>
                <w:b/>
                <w:sz w:val="24"/>
                <w:szCs w:val="24"/>
                <w:highlight w:val="none"/>
              </w:rPr>
            </w:pPr>
            <w:bookmarkStart w:id="91" w:name="_Toc13726"/>
            <w:bookmarkStart w:id="92" w:name="_Toc5264"/>
            <w:bookmarkStart w:id="93" w:name="_Toc29351"/>
            <w:r>
              <w:rPr>
                <w:rFonts w:hint="eastAsia" w:ascii="方正仿宋_GBK" w:hAnsi="方正仿宋_GBK" w:eastAsia="方正仿宋_GBK" w:cs="方正仿宋_GBK"/>
                <w:b/>
                <w:sz w:val="24"/>
                <w:szCs w:val="24"/>
                <w:highlight w:val="none"/>
              </w:rPr>
              <w:t>商务要求</w:t>
            </w:r>
            <w:bookmarkEnd w:id="91"/>
            <w:bookmarkEnd w:id="92"/>
            <w:bookmarkEnd w:id="93"/>
          </w:p>
        </w:tc>
        <w:tc>
          <w:tcPr>
            <w:tcW w:w="3368" w:type="dxa"/>
            <w:noWrap w:val="0"/>
            <w:vAlign w:val="center"/>
          </w:tcPr>
          <w:p>
            <w:pPr>
              <w:pStyle w:val="334"/>
              <w:spacing w:line="360" w:lineRule="exact"/>
              <w:jc w:val="center"/>
              <w:rPr>
                <w:rFonts w:hint="eastAsia" w:ascii="方正仿宋_GBK" w:hAnsi="方正仿宋_GBK" w:eastAsia="方正仿宋_GBK" w:cs="方正仿宋_GBK"/>
                <w:b/>
                <w:sz w:val="24"/>
                <w:szCs w:val="24"/>
                <w:highlight w:val="none"/>
              </w:rPr>
            </w:pPr>
            <w:bookmarkStart w:id="94" w:name="_Toc27096"/>
            <w:bookmarkStart w:id="95" w:name="_Toc30270"/>
            <w:bookmarkStart w:id="96" w:name="_Toc14853"/>
            <w:r>
              <w:rPr>
                <w:rFonts w:hint="eastAsia" w:ascii="方正仿宋_GBK" w:hAnsi="方正仿宋_GBK" w:eastAsia="方正仿宋_GBK" w:cs="方正仿宋_GBK"/>
                <w:b/>
                <w:sz w:val="24"/>
                <w:szCs w:val="24"/>
                <w:highlight w:val="none"/>
              </w:rPr>
              <w:t>竞选应答</w:t>
            </w:r>
            <w:bookmarkEnd w:id="94"/>
            <w:bookmarkEnd w:id="95"/>
            <w:bookmarkEnd w:id="96"/>
          </w:p>
        </w:tc>
        <w:tc>
          <w:tcPr>
            <w:tcW w:w="1290" w:type="dxa"/>
            <w:noWrap w:val="0"/>
            <w:vAlign w:val="center"/>
          </w:tcPr>
          <w:p>
            <w:pPr>
              <w:pStyle w:val="334"/>
              <w:spacing w:line="360" w:lineRule="exact"/>
              <w:jc w:val="center"/>
              <w:rPr>
                <w:rFonts w:hint="eastAsia" w:ascii="方正仿宋_GBK" w:hAnsi="方正仿宋_GBK" w:eastAsia="方正仿宋_GBK" w:cs="方正仿宋_GBK"/>
                <w:b/>
                <w:sz w:val="24"/>
                <w:szCs w:val="24"/>
                <w:highlight w:val="none"/>
              </w:rPr>
            </w:pPr>
            <w:bookmarkStart w:id="97" w:name="_Toc20575"/>
            <w:bookmarkStart w:id="98" w:name="_Toc16879"/>
            <w:bookmarkStart w:id="99" w:name="_Toc26407"/>
            <w:r>
              <w:rPr>
                <w:rFonts w:hint="eastAsia" w:ascii="方正仿宋_GBK" w:hAnsi="方正仿宋_GBK" w:eastAsia="方正仿宋_GBK" w:cs="方正仿宋_GBK"/>
                <w:b/>
                <w:sz w:val="24"/>
                <w:szCs w:val="24"/>
                <w:highlight w:val="none"/>
              </w:rPr>
              <w:t>差异说明</w:t>
            </w:r>
            <w:bookmarkEnd w:id="97"/>
            <w:bookmarkEnd w:id="98"/>
            <w:bookmarkEnd w:id="99"/>
            <w:r>
              <w:rPr>
                <w:rFonts w:hint="eastAsia" w:ascii="方正仿宋_GBK" w:hAnsi="方正仿宋_GBK" w:eastAsia="方正仿宋_GBK" w:cs="方正仿宋_GBK"/>
                <w:b/>
                <w:sz w:val="24"/>
                <w:szCs w:val="24"/>
                <w:highlight w:val="none"/>
              </w:rPr>
              <w:t xml:space="preserve"> （正偏离/负偏离/无差异）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334"/>
              <w:spacing w:line="36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p>
        </w:tc>
        <w:tc>
          <w:tcPr>
            <w:tcW w:w="3532" w:type="dxa"/>
            <w:noWrap w:val="0"/>
            <w:vAlign w:val="center"/>
          </w:tcPr>
          <w:p>
            <w:pPr>
              <w:pStyle w:val="334"/>
              <w:spacing w:line="360" w:lineRule="exact"/>
              <w:jc w:val="both"/>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napToGrid w:val="0"/>
                <w:color w:val="auto"/>
                <w:sz w:val="21"/>
                <w:szCs w:val="21"/>
                <w:highlight w:val="none"/>
                <w:lang w:eastAsia="zh-CN"/>
              </w:rPr>
              <w:t>（一）</w:t>
            </w:r>
            <w:r>
              <w:rPr>
                <w:rFonts w:hint="eastAsia" w:ascii="方正仿宋_GBK" w:hAnsi="方正仿宋_GBK" w:eastAsia="方正仿宋_GBK" w:cs="方正仿宋_GBK"/>
                <w:bCs/>
                <w:snapToGrid w:val="0"/>
                <w:color w:val="auto"/>
                <w:sz w:val="21"/>
                <w:szCs w:val="21"/>
                <w:highlight w:val="none"/>
              </w:rPr>
              <w:t>合同期限：服务期限自签订之日起</w:t>
            </w:r>
            <w:r>
              <w:rPr>
                <w:rFonts w:hint="eastAsia" w:ascii="方正仿宋_GBK" w:hAnsi="方正仿宋_GBK" w:eastAsia="方正仿宋_GBK" w:cs="方正仿宋_GBK"/>
                <w:bCs/>
                <w:snapToGrid w:val="0"/>
                <w:color w:val="auto"/>
                <w:sz w:val="21"/>
                <w:szCs w:val="21"/>
                <w:highlight w:val="none"/>
                <w:lang w:val="en-US" w:eastAsia="zh-CN"/>
              </w:rPr>
              <w:t>3</w:t>
            </w:r>
            <w:r>
              <w:rPr>
                <w:rFonts w:hint="eastAsia" w:ascii="方正仿宋_GBK" w:hAnsi="方正仿宋_GBK" w:eastAsia="方正仿宋_GBK" w:cs="方正仿宋_GBK"/>
                <w:bCs/>
                <w:snapToGrid w:val="0"/>
                <w:color w:val="auto"/>
                <w:sz w:val="21"/>
                <w:szCs w:val="21"/>
                <w:highlight w:val="none"/>
              </w:rPr>
              <w:t>个自然月内</w:t>
            </w:r>
            <w:r>
              <w:rPr>
                <w:rFonts w:hint="eastAsia" w:ascii="方正仿宋_GBK" w:hAnsi="方正仿宋_GBK" w:eastAsia="方正仿宋_GBK" w:cs="方正仿宋_GBK"/>
                <w:bCs/>
                <w:snapToGrid w:val="0"/>
                <w:color w:val="auto"/>
                <w:sz w:val="21"/>
                <w:szCs w:val="21"/>
                <w:highlight w:val="none"/>
                <w:lang w:eastAsia="zh-CN"/>
              </w:rPr>
              <w:t>完工</w:t>
            </w:r>
            <w:r>
              <w:rPr>
                <w:rFonts w:hint="eastAsia" w:ascii="方正仿宋_GBK" w:hAnsi="方正仿宋_GBK" w:eastAsia="方正仿宋_GBK" w:cs="方正仿宋_GBK"/>
                <w:bCs/>
                <w:snapToGrid w:val="0"/>
                <w:color w:val="auto"/>
                <w:sz w:val="21"/>
                <w:szCs w:val="21"/>
                <w:highlight w:val="none"/>
              </w:rPr>
              <w:t>。</w:t>
            </w:r>
          </w:p>
        </w:tc>
        <w:tc>
          <w:tcPr>
            <w:tcW w:w="3368" w:type="dxa"/>
            <w:noWrap w:val="0"/>
            <w:vAlign w:val="center"/>
          </w:tcPr>
          <w:p>
            <w:pPr>
              <w:pStyle w:val="334"/>
              <w:spacing w:line="360" w:lineRule="exact"/>
              <w:rPr>
                <w:rFonts w:hint="eastAsia" w:ascii="方正仿宋_GBK" w:hAnsi="方正仿宋_GBK" w:eastAsia="方正仿宋_GBK" w:cs="方正仿宋_GBK"/>
                <w:sz w:val="28"/>
                <w:szCs w:val="28"/>
                <w:highlight w:val="none"/>
              </w:rPr>
            </w:pPr>
          </w:p>
        </w:tc>
        <w:tc>
          <w:tcPr>
            <w:tcW w:w="1290" w:type="dxa"/>
            <w:noWrap w:val="0"/>
            <w:vAlign w:val="center"/>
          </w:tcPr>
          <w:p>
            <w:pPr>
              <w:pStyle w:val="334"/>
              <w:spacing w:line="360" w:lineRule="exact"/>
              <w:rPr>
                <w:rFonts w:hint="eastAsia" w:ascii="方正仿宋_GBK" w:hAnsi="方正仿宋_GBK" w:eastAsia="方正仿宋_GBK" w:cs="方正仿宋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334"/>
              <w:spacing w:line="36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w:t>
            </w:r>
          </w:p>
        </w:tc>
        <w:tc>
          <w:tcPr>
            <w:tcW w:w="3532" w:type="dxa"/>
            <w:noWrap w:val="0"/>
            <w:vAlign w:val="center"/>
          </w:tcPr>
          <w:p>
            <w:pPr>
              <w:pageBreakBefore w:val="0"/>
              <w:widowControl/>
              <w:kinsoku/>
              <w:wordWrap/>
              <w:overflowPunct/>
              <w:topLinePunct w:val="0"/>
              <w:bidi w:val="0"/>
              <w:spacing w:line="400" w:lineRule="exact"/>
              <w:jc w:val="left"/>
              <w:textAlignment w:val="auto"/>
              <w:rPr>
                <w:rFonts w:hint="eastAsia" w:ascii="方正仿宋_GBK" w:hAnsi="方正仿宋_GBK" w:eastAsia="方正仿宋_GBK" w:cs="方正仿宋_GBK"/>
                <w:bCs/>
                <w:snapToGrid w:val="0"/>
                <w:color w:val="auto"/>
                <w:sz w:val="21"/>
                <w:szCs w:val="21"/>
                <w:highlight w:val="none"/>
              </w:rPr>
            </w:pPr>
            <w:r>
              <w:rPr>
                <w:rFonts w:hint="eastAsia" w:ascii="方正仿宋_GBK" w:hAnsi="方正仿宋_GBK" w:eastAsia="方正仿宋_GBK" w:cs="方正仿宋_GBK"/>
                <w:bCs/>
                <w:snapToGrid w:val="0"/>
                <w:color w:val="auto"/>
                <w:sz w:val="21"/>
                <w:szCs w:val="21"/>
                <w:highlight w:val="none"/>
              </w:rPr>
              <w:t>（二）报价要求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bCs/>
                <w:snapToGrid w:val="0"/>
                <w:color w:val="auto"/>
                <w:sz w:val="21"/>
                <w:szCs w:val="21"/>
                <w:highlight w:val="none"/>
              </w:rPr>
            </w:pPr>
            <w:r>
              <w:rPr>
                <w:rFonts w:hint="eastAsia" w:ascii="方正仿宋_GBK" w:hAnsi="方正仿宋_GBK" w:eastAsia="方正仿宋_GBK" w:cs="方正仿宋_GBK"/>
                <w:bCs/>
                <w:snapToGrid w:val="0"/>
                <w:color w:val="auto"/>
                <w:sz w:val="21"/>
                <w:szCs w:val="21"/>
                <w:highlight w:val="none"/>
              </w:rPr>
              <w:t>1.本项目设有最高限价，竞选人竞选时不得超过最高限价，超过则否决其竞选报价。</w:t>
            </w:r>
          </w:p>
          <w:p>
            <w:pPr>
              <w:pStyle w:val="3"/>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Cs/>
                <w:snapToGrid w:val="0"/>
                <w:color w:val="auto"/>
                <w:kern w:val="2"/>
                <w:sz w:val="21"/>
                <w:szCs w:val="21"/>
                <w:highlight w:val="none"/>
                <w:lang w:val="en-US" w:eastAsia="zh-CN" w:bidi="ar-SA"/>
              </w:rPr>
            </w:pPr>
            <w:r>
              <w:rPr>
                <w:rFonts w:hint="eastAsia" w:ascii="方正仿宋_GBK" w:hAnsi="方正仿宋_GBK" w:eastAsia="方正仿宋_GBK" w:cs="方正仿宋_GBK"/>
                <w:snapToGrid w:val="0"/>
                <w:color w:val="auto"/>
                <w:kern w:val="0"/>
                <w:sz w:val="21"/>
                <w:szCs w:val="21"/>
                <w:highlight w:val="none"/>
                <w:lang w:val="en-US" w:eastAsia="zh-CN"/>
              </w:rPr>
              <w:t>2.</w:t>
            </w:r>
            <w:r>
              <w:rPr>
                <w:rFonts w:hint="eastAsia" w:ascii="方正仿宋_GBK" w:hAnsi="方正仿宋_GBK" w:eastAsia="方正仿宋_GBK" w:cs="方正仿宋_GBK"/>
                <w:bCs/>
                <w:snapToGrid w:val="0"/>
                <w:color w:val="auto"/>
                <w:kern w:val="2"/>
                <w:sz w:val="21"/>
                <w:szCs w:val="21"/>
                <w:highlight w:val="none"/>
                <w:lang w:val="en-US" w:eastAsia="zh-CN" w:bidi="ar-SA"/>
              </w:rPr>
              <w:t>报价须为人民币报价，一次性包干总价，竞选报价包含但不限于：材料费、人工费、交通费、运输费、安全费、管理费、利润、各类税费等相关工作所需的一切费。竞选人因自身原因造成漏报、少报皆由其自行承担责任，采购人不再另行支付费用。</w:t>
            </w:r>
          </w:p>
          <w:p>
            <w:pPr>
              <w:pStyle w:val="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highlight w:val="none"/>
              </w:rPr>
            </w:pPr>
          </w:p>
        </w:tc>
        <w:tc>
          <w:tcPr>
            <w:tcW w:w="3368" w:type="dxa"/>
            <w:noWrap w:val="0"/>
            <w:vAlign w:val="center"/>
          </w:tcPr>
          <w:p>
            <w:pPr>
              <w:pStyle w:val="334"/>
              <w:spacing w:line="360" w:lineRule="exact"/>
              <w:rPr>
                <w:rFonts w:hint="eastAsia" w:ascii="方正仿宋_GBK" w:hAnsi="方正仿宋_GBK" w:eastAsia="方正仿宋_GBK" w:cs="方正仿宋_GBK"/>
                <w:sz w:val="28"/>
                <w:szCs w:val="28"/>
                <w:highlight w:val="none"/>
              </w:rPr>
            </w:pPr>
          </w:p>
        </w:tc>
        <w:tc>
          <w:tcPr>
            <w:tcW w:w="1290" w:type="dxa"/>
            <w:noWrap w:val="0"/>
            <w:vAlign w:val="center"/>
          </w:tcPr>
          <w:p>
            <w:pPr>
              <w:pStyle w:val="334"/>
              <w:spacing w:line="360" w:lineRule="exact"/>
              <w:rPr>
                <w:rFonts w:hint="eastAsia" w:ascii="方正仿宋_GBK" w:hAnsi="方正仿宋_GBK" w:eastAsia="方正仿宋_GBK" w:cs="方正仿宋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334"/>
              <w:spacing w:line="36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w:t>
            </w:r>
          </w:p>
        </w:tc>
        <w:tc>
          <w:tcPr>
            <w:tcW w:w="3532" w:type="dxa"/>
            <w:noWrap w:val="0"/>
            <w:vAlign w:val="center"/>
          </w:tcPr>
          <w:p>
            <w:pPr>
              <w:spacing w:line="3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napToGrid w:val="0"/>
                <w:color w:val="auto"/>
                <w:sz w:val="21"/>
                <w:szCs w:val="21"/>
                <w:highlight w:val="none"/>
              </w:rPr>
              <w:t>（</w:t>
            </w:r>
            <w:r>
              <w:rPr>
                <w:rFonts w:hint="eastAsia" w:ascii="方正仿宋_GBK" w:hAnsi="方正仿宋_GBK" w:eastAsia="方正仿宋_GBK" w:cs="方正仿宋_GBK"/>
                <w:bCs/>
                <w:snapToGrid w:val="0"/>
                <w:color w:val="auto"/>
                <w:sz w:val="21"/>
                <w:szCs w:val="21"/>
                <w:highlight w:val="none"/>
                <w:lang w:eastAsia="zh-CN"/>
              </w:rPr>
              <w:t>三</w:t>
            </w:r>
            <w:r>
              <w:rPr>
                <w:rFonts w:hint="eastAsia" w:ascii="方正仿宋_GBK" w:hAnsi="方正仿宋_GBK" w:eastAsia="方正仿宋_GBK" w:cs="方正仿宋_GBK"/>
                <w:bCs/>
                <w:snapToGrid w:val="0"/>
                <w:color w:val="auto"/>
                <w:sz w:val="21"/>
                <w:szCs w:val="21"/>
                <w:highlight w:val="none"/>
              </w:rPr>
              <w:t>）违约责任：服务期限自签订之日起至</w:t>
            </w:r>
            <w:r>
              <w:rPr>
                <w:rFonts w:hint="eastAsia" w:ascii="方正仿宋_GBK" w:hAnsi="方正仿宋_GBK" w:eastAsia="方正仿宋_GBK" w:cs="方正仿宋_GBK"/>
                <w:bCs/>
                <w:snapToGrid w:val="0"/>
                <w:color w:val="auto"/>
                <w:sz w:val="21"/>
                <w:szCs w:val="21"/>
                <w:highlight w:val="none"/>
                <w:lang w:val="en-US" w:eastAsia="zh-CN"/>
              </w:rPr>
              <w:t>3</w:t>
            </w:r>
            <w:r>
              <w:rPr>
                <w:rFonts w:hint="eastAsia" w:ascii="方正仿宋_GBK" w:hAnsi="方正仿宋_GBK" w:eastAsia="方正仿宋_GBK" w:cs="方正仿宋_GBK"/>
                <w:bCs/>
                <w:snapToGrid w:val="0"/>
                <w:color w:val="auto"/>
                <w:sz w:val="21"/>
                <w:szCs w:val="21"/>
                <w:highlight w:val="none"/>
              </w:rPr>
              <w:t>个自然月内</w:t>
            </w:r>
            <w:r>
              <w:rPr>
                <w:rFonts w:hint="eastAsia" w:ascii="方正仿宋_GBK" w:hAnsi="方正仿宋_GBK" w:eastAsia="方正仿宋_GBK" w:cs="方正仿宋_GBK"/>
                <w:bCs/>
                <w:snapToGrid w:val="0"/>
                <w:color w:val="auto"/>
                <w:sz w:val="21"/>
                <w:szCs w:val="21"/>
                <w:highlight w:val="none"/>
                <w:lang w:eastAsia="zh-CN"/>
              </w:rPr>
              <w:t>完工</w:t>
            </w:r>
            <w:r>
              <w:rPr>
                <w:rFonts w:hint="eastAsia" w:ascii="方正仿宋_GBK" w:hAnsi="方正仿宋_GBK" w:eastAsia="方正仿宋_GBK" w:cs="方正仿宋_GBK"/>
                <w:bCs/>
                <w:snapToGrid w:val="0"/>
                <w:color w:val="auto"/>
                <w:sz w:val="21"/>
                <w:szCs w:val="21"/>
                <w:highlight w:val="none"/>
              </w:rPr>
              <w:t>，每延迟一天按合同总额的3‰扣除违约金；</w:t>
            </w:r>
            <w:r>
              <w:rPr>
                <w:rFonts w:hint="eastAsia" w:ascii="方正仿宋_GBK" w:hAnsi="方正仿宋_GBK" w:eastAsia="方正仿宋_GBK" w:cs="方正仿宋_GBK"/>
                <w:bCs/>
                <w:snapToGrid w:val="0"/>
                <w:color w:val="auto"/>
                <w:sz w:val="21"/>
                <w:szCs w:val="21"/>
                <w:highlight w:val="none"/>
                <w:lang w:eastAsia="zh-CN"/>
              </w:rPr>
              <w:t>完工时间</w:t>
            </w:r>
            <w:r>
              <w:rPr>
                <w:rFonts w:hint="eastAsia" w:ascii="方正仿宋_GBK" w:hAnsi="方正仿宋_GBK" w:eastAsia="方正仿宋_GBK" w:cs="方正仿宋_GBK"/>
                <w:bCs/>
                <w:snapToGrid w:val="0"/>
                <w:color w:val="auto"/>
                <w:sz w:val="21"/>
                <w:szCs w:val="21"/>
                <w:highlight w:val="none"/>
              </w:rPr>
              <w:t>延迟满30天</w:t>
            </w:r>
            <w:r>
              <w:rPr>
                <w:rFonts w:hint="eastAsia" w:ascii="方正仿宋_GBK" w:hAnsi="方正仿宋_GBK" w:eastAsia="方正仿宋_GBK" w:cs="方正仿宋_GBK"/>
                <w:bCs/>
                <w:snapToGrid w:val="0"/>
                <w:color w:val="auto"/>
                <w:sz w:val="21"/>
                <w:szCs w:val="21"/>
                <w:highlight w:val="none"/>
                <w:lang w:eastAsia="zh-CN"/>
              </w:rPr>
              <w:t>及以上</w:t>
            </w:r>
            <w:r>
              <w:rPr>
                <w:rFonts w:hint="eastAsia" w:ascii="方正仿宋_GBK" w:hAnsi="方正仿宋_GBK" w:eastAsia="方正仿宋_GBK" w:cs="方正仿宋_GBK"/>
                <w:bCs/>
                <w:snapToGrid w:val="0"/>
                <w:color w:val="auto"/>
                <w:sz w:val="21"/>
                <w:szCs w:val="21"/>
                <w:highlight w:val="none"/>
              </w:rPr>
              <w:t>，采购人可解除合同。</w:t>
            </w:r>
          </w:p>
        </w:tc>
        <w:tc>
          <w:tcPr>
            <w:tcW w:w="3368" w:type="dxa"/>
            <w:noWrap w:val="0"/>
            <w:vAlign w:val="center"/>
          </w:tcPr>
          <w:p>
            <w:pPr>
              <w:pStyle w:val="334"/>
              <w:spacing w:line="360" w:lineRule="exact"/>
              <w:jc w:val="center"/>
              <w:rPr>
                <w:rFonts w:hint="eastAsia" w:ascii="方正仿宋_GBK" w:hAnsi="方正仿宋_GBK" w:eastAsia="方正仿宋_GBK" w:cs="方正仿宋_GBK"/>
                <w:sz w:val="28"/>
                <w:szCs w:val="28"/>
                <w:highlight w:val="none"/>
              </w:rPr>
            </w:pPr>
          </w:p>
        </w:tc>
        <w:tc>
          <w:tcPr>
            <w:tcW w:w="1290" w:type="dxa"/>
            <w:noWrap w:val="0"/>
            <w:vAlign w:val="center"/>
          </w:tcPr>
          <w:p>
            <w:pPr>
              <w:pStyle w:val="334"/>
              <w:spacing w:line="360" w:lineRule="exact"/>
              <w:rPr>
                <w:rFonts w:hint="eastAsia" w:ascii="方正仿宋_GBK" w:hAnsi="方正仿宋_GBK" w:eastAsia="方正仿宋_GBK" w:cs="方正仿宋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334"/>
              <w:spacing w:line="36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w:t>
            </w:r>
          </w:p>
        </w:tc>
        <w:tc>
          <w:tcPr>
            <w:tcW w:w="353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K" w:hAnsi="方正仿宋_GBK" w:eastAsia="方正仿宋_GBK" w:cs="方正仿宋_GBK"/>
                <w:bCs/>
                <w:snapToGrid w:val="0"/>
                <w:color w:val="auto"/>
                <w:kern w:val="2"/>
                <w:sz w:val="21"/>
                <w:szCs w:val="21"/>
                <w:highlight w:val="none"/>
                <w:lang w:val="en-US" w:eastAsia="zh-CN" w:bidi="ar-SA"/>
              </w:rPr>
            </w:pPr>
            <w:r>
              <w:rPr>
                <w:rFonts w:hint="eastAsia" w:ascii="方正仿宋_GBK" w:hAnsi="方正仿宋_GBK" w:eastAsia="方正仿宋_GBK" w:cs="方正仿宋_GBK"/>
                <w:bCs/>
                <w:snapToGrid w:val="0"/>
                <w:color w:val="auto"/>
                <w:kern w:val="2"/>
                <w:sz w:val="21"/>
                <w:szCs w:val="21"/>
                <w:highlight w:val="none"/>
                <w:lang w:val="en-US" w:eastAsia="zh-CN" w:bidi="ar-SA"/>
              </w:rPr>
              <w:t>（四）付款方式</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bCs/>
                <w:snapToGrid w:val="0"/>
                <w:color w:val="auto"/>
                <w:sz w:val="21"/>
                <w:szCs w:val="21"/>
                <w:highlight w:val="none"/>
              </w:rPr>
              <w:t>对公转账</w:t>
            </w:r>
            <w:r>
              <w:rPr>
                <w:rFonts w:hint="eastAsia" w:ascii="方正仿宋_GBK" w:hAnsi="方正仿宋_GBK" w:eastAsia="方正仿宋_GBK" w:cs="方正仿宋_GBK"/>
                <w:bCs/>
                <w:snapToGrid w:val="0"/>
                <w:color w:val="auto"/>
                <w:sz w:val="21"/>
                <w:szCs w:val="21"/>
                <w:highlight w:val="none"/>
                <w:lang w:eastAsia="zh-CN"/>
              </w:rPr>
              <w:t>，</w:t>
            </w:r>
            <w:r>
              <w:rPr>
                <w:rFonts w:hint="eastAsia" w:ascii="方正仿宋_GBK" w:hAnsi="方正仿宋_GBK" w:eastAsia="方正仿宋_GBK" w:cs="方正仿宋_GBK"/>
                <w:bCs/>
                <w:snapToGrid w:val="0"/>
                <w:color w:val="auto"/>
                <w:sz w:val="21"/>
                <w:szCs w:val="21"/>
                <w:highlight w:val="none"/>
              </w:rPr>
              <w:t>本合</w:t>
            </w:r>
            <w:r>
              <w:rPr>
                <w:rFonts w:hint="eastAsia" w:ascii="方正仿宋_GBK" w:hAnsi="方正仿宋_GBK" w:eastAsia="方正仿宋_GBK" w:cs="方正仿宋_GBK"/>
                <w:color w:val="auto"/>
                <w:sz w:val="21"/>
                <w:szCs w:val="21"/>
                <w:highlight w:val="none"/>
              </w:rPr>
              <w:t>同不支付预付款。</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工程完工经采购人验收合格后，竞选人提供满足税法规定的足额增值税专用发票以及采购人要求的其他支付或结算资料，双方办理完《结算单》等结算手续后15个工作日内，采购人向竞选人支付至结算金额的97%。</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3、留结算金额的3%作为合同质保金，待质保期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两年</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满后双方办理完《质量保修责任期终止报告》后15个工作日内，经双方确认无任何工程质量缺陷后，采购人一次性无息支付给竞选人。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（1）支付申请、进度、结算单（加盖竞选人公章）；</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（2）经双方签章确认的验收单；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（3）提供满足税法规定的完备的发票；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（4）采购人要求的其他支付/结算资料；</w:t>
            </w:r>
          </w:p>
          <w:p>
            <w:pPr>
              <w:pStyle w:val="334"/>
              <w:spacing w:line="360" w:lineRule="exact"/>
              <w:rPr>
                <w:rFonts w:hint="eastAsia" w:ascii="方正仿宋_GBK" w:hAnsi="方正仿宋_GBK" w:eastAsia="方正仿宋_GBK" w:cs="方正仿宋_GBK"/>
                <w:sz w:val="28"/>
                <w:szCs w:val="28"/>
                <w:highlight w:val="none"/>
              </w:rPr>
            </w:pPr>
          </w:p>
        </w:tc>
        <w:tc>
          <w:tcPr>
            <w:tcW w:w="3368" w:type="dxa"/>
            <w:noWrap w:val="0"/>
            <w:vAlign w:val="center"/>
          </w:tcPr>
          <w:p>
            <w:pPr>
              <w:pStyle w:val="334"/>
              <w:spacing w:line="360" w:lineRule="exact"/>
              <w:jc w:val="center"/>
              <w:rPr>
                <w:rFonts w:hint="eastAsia" w:ascii="方正仿宋_GBK" w:hAnsi="方正仿宋_GBK" w:eastAsia="方正仿宋_GBK" w:cs="方正仿宋_GBK"/>
                <w:sz w:val="28"/>
                <w:szCs w:val="28"/>
                <w:highlight w:val="none"/>
              </w:rPr>
            </w:pPr>
          </w:p>
        </w:tc>
        <w:tc>
          <w:tcPr>
            <w:tcW w:w="1290" w:type="dxa"/>
            <w:noWrap w:val="0"/>
            <w:vAlign w:val="center"/>
          </w:tcPr>
          <w:p>
            <w:pPr>
              <w:pStyle w:val="334"/>
              <w:spacing w:line="360" w:lineRule="exact"/>
              <w:rPr>
                <w:rFonts w:hint="eastAsia" w:ascii="方正仿宋_GBK" w:hAnsi="方正仿宋_GBK" w:eastAsia="方正仿宋_GBK" w:cs="方正仿宋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spacing w:line="36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w:t>
            </w:r>
          </w:p>
        </w:tc>
        <w:tc>
          <w:tcPr>
            <w:tcW w:w="3532" w:type="dxa"/>
            <w:noWrap w:val="0"/>
            <w:vAlign w:val="center"/>
          </w:tcPr>
          <w:p>
            <w:pPr>
              <w:rPr>
                <w:rFonts w:hint="default" w:ascii="方正仿宋_GBK" w:hAnsi="方正仿宋_GBK" w:eastAsia="方正仿宋_GBK" w:cs="方正仿宋_GBK"/>
                <w:bCs/>
                <w:snapToGrid w:val="0"/>
                <w:color w:val="auto"/>
                <w:kern w:val="2"/>
                <w:sz w:val="21"/>
                <w:szCs w:val="21"/>
                <w:highlight w:val="none"/>
                <w:lang w:val="en-US" w:eastAsia="zh-CN" w:bidi="ar-SA"/>
              </w:rPr>
            </w:pPr>
            <w:r>
              <w:rPr>
                <w:rFonts w:hint="eastAsia" w:ascii="方正仿宋_GBK" w:hAnsi="方正仿宋_GBK" w:eastAsia="方正仿宋_GBK" w:cs="方正仿宋_GBK"/>
                <w:bCs/>
                <w:snapToGrid w:val="0"/>
                <w:color w:val="auto"/>
                <w:kern w:val="2"/>
                <w:sz w:val="21"/>
                <w:szCs w:val="21"/>
                <w:highlight w:val="none"/>
                <w:lang w:val="en-US" w:eastAsia="zh-CN" w:bidi="ar-SA"/>
              </w:rPr>
              <w:t>（五）质保期</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此次</w:t>
            </w:r>
            <w:r>
              <w:rPr>
                <w:rFonts w:hint="eastAsia" w:ascii="方正仿宋_GBK" w:hAnsi="方正仿宋_GBK" w:eastAsia="方正仿宋_GBK" w:cs="方正仿宋_GBK"/>
                <w:color w:val="auto"/>
                <w:sz w:val="21"/>
                <w:szCs w:val="21"/>
                <w:highlight w:val="none"/>
                <w:lang w:eastAsia="zh-CN"/>
              </w:rPr>
              <w:t>场地建设</w:t>
            </w:r>
            <w:r>
              <w:rPr>
                <w:rFonts w:hint="eastAsia" w:ascii="方正仿宋_GBK" w:hAnsi="方正仿宋_GBK" w:eastAsia="方正仿宋_GBK" w:cs="方正仿宋_GBK"/>
                <w:color w:val="auto"/>
                <w:sz w:val="21"/>
                <w:szCs w:val="21"/>
                <w:highlight w:val="none"/>
              </w:rPr>
              <w:t xml:space="preserve">项目质保期为 </w:t>
            </w:r>
            <w:r>
              <w:rPr>
                <w:rFonts w:hint="eastAsia" w:ascii="方正仿宋_GBK" w:hAnsi="方正仿宋_GBK" w:eastAsia="方正仿宋_GBK" w:cs="方正仿宋_GBK"/>
                <w:color w:val="auto"/>
                <w:sz w:val="21"/>
                <w:szCs w:val="21"/>
                <w:highlight w:val="none"/>
                <w:lang w:val="en-US" w:eastAsia="zh-CN"/>
              </w:rPr>
              <w:t>24</w:t>
            </w:r>
            <w:r>
              <w:rPr>
                <w:rFonts w:hint="eastAsia" w:ascii="方正仿宋_GBK" w:hAnsi="方正仿宋_GBK" w:eastAsia="方正仿宋_GBK" w:cs="方正仿宋_GBK"/>
                <w:color w:val="auto"/>
                <w:sz w:val="21"/>
                <w:szCs w:val="21"/>
                <w:highlight w:val="none"/>
              </w:rPr>
              <w:t xml:space="preserve"> 个月，从验收合格后第二日开始计算</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质保期内</w:t>
            </w:r>
            <w:r>
              <w:rPr>
                <w:rFonts w:hint="eastAsia" w:ascii="方正仿宋_GBK" w:hAnsi="方正仿宋_GBK" w:eastAsia="方正仿宋_GBK" w:cs="方正仿宋_GBK"/>
                <w:color w:val="auto"/>
                <w:sz w:val="21"/>
                <w:szCs w:val="21"/>
                <w:highlight w:val="none"/>
                <w:lang w:eastAsia="zh-CN"/>
              </w:rPr>
              <w:t>若出现工程质量问题，竞选人应免费</w:t>
            </w:r>
            <w:r>
              <w:rPr>
                <w:rFonts w:hint="eastAsia" w:ascii="方正仿宋_GBK" w:hAnsi="方正仿宋_GBK" w:eastAsia="方正仿宋_GBK" w:cs="方正仿宋_GBK"/>
                <w:color w:val="auto"/>
                <w:sz w:val="21"/>
                <w:szCs w:val="21"/>
                <w:highlight w:val="none"/>
              </w:rPr>
              <w:t>返修。</w:t>
            </w:r>
          </w:p>
          <w:p>
            <w:pPr>
              <w:pStyle w:val="2"/>
              <w:spacing w:line="360" w:lineRule="exact"/>
              <w:jc w:val="both"/>
              <w:rPr>
                <w:rFonts w:hint="eastAsia" w:ascii="方正仿宋_GBK" w:hAnsi="方正仿宋_GBK" w:eastAsia="方正仿宋_GBK" w:cs="方正仿宋_GBK"/>
                <w:sz w:val="28"/>
                <w:szCs w:val="28"/>
                <w:highlight w:val="none"/>
              </w:rPr>
            </w:pPr>
          </w:p>
        </w:tc>
        <w:tc>
          <w:tcPr>
            <w:tcW w:w="3368" w:type="dxa"/>
            <w:noWrap w:val="0"/>
            <w:vAlign w:val="center"/>
          </w:tcPr>
          <w:p>
            <w:pPr>
              <w:pStyle w:val="334"/>
              <w:spacing w:line="360" w:lineRule="exact"/>
              <w:jc w:val="center"/>
              <w:rPr>
                <w:rFonts w:hint="eastAsia" w:ascii="方正仿宋_GBK" w:hAnsi="方正仿宋_GBK" w:eastAsia="方正仿宋_GBK" w:cs="方正仿宋_GBK"/>
                <w:sz w:val="28"/>
                <w:szCs w:val="28"/>
                <w:highlight w:val="none"/>
              </w:rPr>
            </w:pPr>
          </w:p>
        </w:tc>
        <w:tc>
          <w:tcPr>
            <w:tcW w:w="1290" w:type="dxa"/>
            <w:noWrap w:val="0"/>
            <w:vAlign w:val="center"/>
          </w:tcPr>
          <w:p>
            <w:pPr>
              <w:pStyle w:val="334"/>
              <w:spacing w:line="360" w:lineRule="exact"/>
              <w:rPr>
                <w:rFonts w:hint="eastAsia" w:ascii="方正仿宋_GBK" w:hAnsi="方正仿宋_GBK" w:eastAsia="方正仿宋_GBK" w:cs="方正仿宋_GBK"/>
                <w:b/>
                <w:sz w:val="28"/>
                <w:szCs w:val="28"/>
                <w:highlight w:val="none"/>
              </w:rPr>
            </w:pPr>
          </w:p>
        </w:tc>
      </w:tr>
    </w:tbl>
    <w:p>
      <w:pPr>
        <w:tabs>
          <w:tab w:val="left" w:pos="6300"/>
        </w:tabs>
        <w:snapToGrid w:val="0"/>
        <w:spacing w:line="360" w:lineRule="auto"/>
        <w:ind w:left="7000" w:right="960" w:hanging="7000" w:hangingChars="2500"/>
        <w:rPr>
          <w:rFonts w:hint="eastAsia" w:ascii="方正仿宋_GBK" w:hAnsi="方正仿宋_GBK" w:eastAsia="方正仿宋_GBK" w:cs="方正仿宋_GBK"/>
          <w:sz w:val="28"/>
          <w:szCs w:val="28"/>
          <w:highlight w:val="none"/>
        </w:rPr>
      </w:pPr>
    </w:p>
    <w:p>
      <w:pPr>
        <w:pStyle w:val="2"/>
        <w:rPr>
          <w:rFonts w:hint="eastAsia" w:ascii="方正仿宋_GBK" w:hAnsi="方正仿宋_GBK" w:eastAsia="方正仿宋_GBK" w:cs="方正仿宋_GBK"/>
          <w:sz w:val="28"/>
          <w:szCs w:val="28"/>
          <w:highlight w:val="none"/>
        </w:rPr>
      </w:pPr>
    </w:p>
    <w:p>
      <w:pPr>
        <w:tabs>
          <w:tab w:val="left" w:pos="6300"/>
        </w:tabs>
        <w:snapToGrid w:val="0"/>
        <w:spacing w:line="360" w:lineRule="auto"/>
        <w:ind w:left="7000" w:right="-14" w:hanging="7000" w:hangingChars="25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法人授权代表：</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（签章）  </w:t>
      </w:r>
    </w:p>
    <w:p>
      <w:pPr>
        <w:tabs>
          <w:tab w:val="left" w:pos="6300"/>
        </w:tabs>
        <w:snapToGrid w:val="0"/>
        <w:spacing w:line="360" w:lineRule="auto"/>
        <w:ind w:left="7000" w:right="-14" w:hanging="7000" w:hangingChars="25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竞选人：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（盖章）</w:t>
      </w:r>
    </w:p>
    <w:p>
      <w:pPr>
        <w:spacing w:line="360" w:lineRule="auto"/>
        <w:ind w:left="7280" w:hanging="7280" w:hangingChars="2600"/>
        <w:jc w:val="center"/>
        <w:rPr>
          <w:rFonts w:hint="eastAsia" w:ascii="方正仿宋_GBK" w:hAnsi="方正仿宋_GBK" w:eastAsia="方正仿宋_GBK" w:cs="方正仿宋_GBK"/>
          <w:sz w:val="28"/>
          <w:szCs w:val="28"/>
          <w:highlight w:val="none"/>
        </w:rPr>
        <w:sectPr>
          <w:pgSz w:w="11906" w:h="16838"/>
          <w:pgMar w:top="1440" w:right="1800" w:bottom="1440" w:left="1800" w:header="851" w:footer="992" w:gutter="0"/>
          <w:cols w:space="720" w:num="1"/>
          <w:docGrid w:type="lines" w:linePitch="381" w:charSpace="0"/>
        </w:sect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p>
    <w:p>
      <w:pPr>
        <w:pageBreakBefore/>
        <w:spacing w:line="360" w:lineRule="auto"/>
        <w:ind w:right="-59" w:rightChars="-21"/>
        <w:outlineLvl w:val="1"/>
        <w:rPr>
          <w:rFonts w:hint="eastAsia" w:ascii="方正仿宋_GBK" w:hAnsi="方正仿宋_GBK" w:eastAsia="方正仿宋_GBK" w:cs="方正仿宋_GBK"/>
          <w:b/>
          <w:sz w:val="28"/>
          <w:szCs w:val="28"/>
          <w:highlight w:val="none"/>
        </w:rPr>
      </w:pPr>
      <w:bookmarkStart w:id="100" w:name="_Toc441589337"/>
      <w:bookmarkStart w:id="101" w:name="_Toc16692"/>
      <w:bookmarkStart w:id="102" w:name="_Toc29922"/>
      <w:bookmarkStart w:id="103" w:name="_Toc2657"/>
      <w:bookmarkStart w:id="104" w:name="_Toc15984"/>
      <w:bookmarkStart w:id="105" w:name="_Toc7800"/>
      <w:bookmarkStart w:id="106" w:name="_Toc322965786"/>
      <w:bookmarkStart w:id="107" w:name="_Toc340225319"/>
      <w:bookmarkStart w:id="108" w:name="_Toc14103"/>
      <w:bookmarkStart w:id="109" w:name="_Toc22318"/>
      <w:r>
        <w:rPr>
          <w:rFonts w:hint="eastAsia" w:ascii="方正仿宋_GBK" w:hAnsi="方正仿宋_GBK" w:eastAsia="方正仿宋_GBK" w:cs="方正仿宋_GBK"/>
          <w:b/>
          <w:sz w:val="28"/>
          <w:szCs w:val="28"/>
          <w:highlight w:val="none"/>
        </w:rPr>
        <w:t>五、其他</w:t>
      </w:r>
      <w:bookmarkEnd w:id="100"/>
      <w:bookmarkEnd w:id="101"/>
      <w:bookmarkEnd w:id="102"/>
      <w:bookmarkEnd w:id="103"/>
      <w:bookmarkEnd w:id="104"/>
      <w:bookmarkEnd w:id="105"/>
      <w:bookmarkEnd w:id="106"/>
      <w:bookmarkEnd w:id="107"/>
      <w:bookmarkEnd w:id="108"/>
      <w:bookmarkEnd w:id="109"/>
    </w:p>
    <w:p>
      <w:pPr>
        <w:tabs>
          <w:tab w:val="left" w:pos="6300"/>
        </w:tabs>
        <w:snapToGrid w:val="0"/>
        <w:spacing w:line="360" w:lineRule="auto"/>
        <w:ind w:right="-59" w:rightChars="-21"/>
        <w:jc w:val="center"/>
        <w:outlineLvl w:val="2"/>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（一）其他与项目有关的资料（自附）</w:t>
      </w:r>
    </w:p>
    <w:p>
      <w:pPr>
        <w:spacing w:line="360" w:lineRule="auto"/>
        <w:jc w:val="both"/>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jc w:val="center"/>
        <w:rPr>
          <w:rFonts w:hint="eastAsia" w:ascii="方正仿宋_GBK" w:hAnsi="方正仿宋_GBK" w:eastAsia="方正仿宋_GBK" w:cs="方正仿宋_GBK"/>
          <w:b/>
          <w:color w:val="auto"/>
          <w:sz w:val="44"/>
          <w:szCs w:val="44"/>
          <w:highlight w:val="none"/>
        </w:rPr>
      </w:pPr>
    </w:p>
    <w:p>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sz w:val="24"/>
          <w:szCs w:val="24"/>
          <w:highlight w:val="none"/>
        </w:rPr>
        <w:t>附件：</w:t>
      </w:r>
    </w:p>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小标宋_GBK" w:hAnsi="方正小标宋_GBK" w:eastAsia="方正小标宋_GBK" w:cs="方正小标宋_GBK"/>
          <w:color w:val="auto"/>
          <w:sz w:val="24"/>
          <w:szCs w:val="24"/>
          <w:highlight w:val="none"/>
        </w:rPr>
        <w:t>低价风险担保保函（如有</w:t>
      </w:r>
      <w:r>
        <w:rPr>
          <w:rFonts w:hint="eastAsia" w:ascii="方正仿宋_GBK" w:hAnsi="方正仿宋_GBK" w:eastAsia="方正仿宋_GBK" w:cs="方正仿宋_GBK"/>
          <w:color w:val="auto"/>
          <w:sz w:val="24"/>
          <w:szCs w:val="24"/>
          <w:highlight w:val="none"/>
        </w:rPr>
        <w:t>）</w:t>
      </w:r>
    </w:p>
    <w:p>
      <w:pPr>
        <w:spacing w:line="36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（独立保函）</w:t>
      </w:r>
    </w:p>
    <w:p>
      <w:pPr>
        <w:wordWrap w:val="0"/>
        <w:spacing w:line="360" w:lineRule="auto"/>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编号：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申请人：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地址：</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受益人：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地址：</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开立人：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地址：</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（受益人名称）： </w:t>
      </w:r>
    </w:p>
    <w:p>
      <w:pPr>
        <w:pStyle w:val="2"/>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鉴于</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（以下简称“申请人”）于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日参加</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（以下简称“受益人”）的</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（项目名称）的竞选，收到受益人于</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日签发的成交通知书，成为该项目的中选人。基于申请人的请求，我方同意就申请人履行该项目成交通知书、</w:t>
      </w: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文件和竞选文件约定的义务，向贵方提供不可撤销、不可转让的见索即付独立保函（以下简称“本保函”）。</w:t>
      </w:r>
    </w:p>
    <w:p>
      <w:pPr>
        <w:pStyle w:val="2"/>
        <w:numPr>
          <w:ilvl w:val="0"/>
          <w:numId w:val="4"/>
        </w:numPr>
        <w:spacing w:after="120"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本保函担保范围：申请人未按照成交通知书、</w:t>
      </w: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文件和竞选文件约定签订合同或未按签订的合同约定履行相关义务，应当向贵方承担的违约责任和赔偿因此造成的损失、利息、律师费、诉讼费用等实现债权的费用。</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二、本保函担保金额最高不超过人民币（大写）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元（¥</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三、本保函有效期自开立之日起至合同约定的</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日止，最迟不超过</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日。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四、我方承诺，在收到受益人发来的书面付款通知后的</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工作日内无条件支付，前述书面付款通知即为付款要求之单据，且应满足以下要求：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（1）付款通知到达的日期在本保函的有效期内；</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（2）载明要求支付的金额；</w:t>
      </w:r>
    </w:p>
    <w:p>
      <w:pPr>
        <w:spacing w:line="360" w:lineRule="auto"/>
        <w:ind w:firstLine="480" w:firstLineChars="200"/>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（3）载明申请人未按照成交通知书、</w:t>
      </w: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文件和竞选文件约定签订合同或违反合同义务的条款和内容；</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（4）付款通知中应声明不存在比</w:t>
      </w: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文件约定、合同文件约定或我国法律规定免除申请人或开立人支付责任的情形；</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（5）付款通知应在本保函有效期内到达的地址是：</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受益人发出的书面付款通知应由其为鉴明受益人法定代表人（负责人）或授权代理人签名加盖公章。</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五、本保函项下的权利不得转让，不得设定担保。贵方未经我方书面同意转让本保函或其项下任何权利，对我方不发生法律效力。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六、与本保函有关的合同不成立、不生效、无效、被撤销、被解除，不影响本保函的独立有效。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八、本保函适用的法律为中华人民共和国法律，争议裁判管辖地为中华人民共和国</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九、本保函自我方法定代表人或授权代表签名并加盖公章之日起生效。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开 立 人：                              （公章）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法定代表人（或授权代表）：              （签名）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地    址：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邮政编码：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电    话：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传    真：                 </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开立时间：      年      月      日</w:t>
      </w:r>
    </w:p>
    <w:p>
      <w:pPr>
        <w:widowControl/>
        <w:spacing w:line="360" w:lineRule="auto"/>
        <w:jc w:val="center"/>
        <w:rPr>
          <w:rFonts w:asciiTheme="minorEastAsia" w:hAnsiTheme="minorEastAsia" w:eastAsiaTheme="minorEastAsia"/>
          <w:color w:val="auto"/>
          <w:highlight w:val="none"/>
        </w:rPr>
      </w:pPr>
    </w:p>
    <w:sectPr>
      <w:headerReference r:id="rId19" w:type="default"/>
      <w:footerReference r:id="rId20" w:type="default"/>
      <w:pgSz w:w="11907" w:h="16840"/>
      <w:pgMar w:top="1440" w:right="1083" w:bottom="1440" w:left="1083" w:header="964" w:footer="992" w:gutter="0"/>
      <w:pgNumType w:fmt="numberInDash"/>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Century Gothic">
    <w:altName w:val="Century"/>
    <w:panose1 w:val="020B0502020202020204"/>
    <w:charset w:val="00"/>
    <w:family w:val="swiss"/>
    <w:pitch w:val="default"/>
    <w:sig w:usb0="00000000" w:usb1="00000000" w:usb2="00000000" w:usb3="00000000" w:csb0="0000009F" w:csb1="00000000"/>
  </w:font>
  <w:font w:name="P Ming Li U">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0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422"/>
        <w:tab w:val="clear" w:pos="4153"/>
      </w:tabs>
      <w:jc w:val="both"/>
      <w:rPr>
        <w:rFonts w:ascii="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422"/>
        <w:tab w:val="clear" w:pos="4153"/>
      </w:tabs>
      <w:jc w:val="both"/>
      <w:rPr>
        <w:rFonts w:ascii="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Fonts w:hint="eastAsia"/>
                              <w:i/>
                            </w:rPr>
                            <w:t xml:space="preserve"> </w:t>
                          </w:r>
                          <w:r>
                            <w:fldChar w:fldCharType="begin"/>
                          </w:r>
                          <w:r>
                            <w:instrText xml:space="preserve">PAGE   \* MERGEFORMAT</w:instrText>
                          </w:r>
                          <w:r>
                            <w:fldChar w:fldCharType="separate"/>
                          </w:r>
                          <w:r>
                            <w:rPr>
                              <w:lang w:val="zh-CN"/>
                            </w:rPr>
                            <w:t>-</w:t>
                          </w:r>
                          <w:r>
                            <w:t xml:space="preserve"> 33 -</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30"/>
                      <w:jc w:val="center"/>
                    </w:pPr>
                    <w:r>
                      <w:rPr>
                        <w:rFonts w:hint="eastAsia"/>
                        <w:i/>
                      </w:rPr>
                      <w:t xml:space="preserve"> </w:t>
                    </w:r>
                    <w:r>
                      <w:fldChar w:fldCharType="begin"/>
                    </w:r>
                    <w:r>
                      <w:instrText xml:space="preserve">PAGE   \* MERGEFORMAT</w:instrText>
                    </w:r>
                    <w:r>
                      <w:fldChar w:fldCharType="separate"/>
                    </w:r>
                    <w:r>
                      <w:rPr>
                        <w:lang w:val="zh-CN"/>
                      </w:rPr>
                      <w:t>-</w:t>
                    </w:r>
                    <w:r>
                      <w:t xml:space="preserve"> 33 -</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- 65 -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- 65 -</w:t>
                    </w:r>
                    <w:r>
                      <w:rPr>
                        <w:rFonts w:hint="eastAsia"/>
                      </w:rPr>
                      <w:fldChar w:fldCharType="end"/>
                    </w:r>
                  </w:p>
                </w:txbxContent>
              </v:textbox>
            </v:shape>
          </w:pict>
        </mc:Fallback>
      </mc:AlternateContent>
    </w:r>
  </w:p>
  <w:p>
    <w:pPr>
      <w:pStyle w:val="30"/>
      <w:jc w:val="center"/>
      <w:rPr>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lef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ind w:firstLine="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AE171"/>
    <w:multiLevelType w:val="singleLevel"/>
    <w:tmpl w:val="C20AE171"/>
    <w:lvl w:ilvl="0" w:tentative="0">
      <w:start w:val="3"/>
      <w:numFmt w:val="chineseCounting"/>
      <w:suff w:val="nothing"/>
      <w:lvlText w:val="%1、"/>
      <w:lvlJc w:val="left"/>
      <w:rPr>
        <w:rFonts w:hint="eastAsia"/>
      </w:rPr>
    </w:lvl>
  </w:abstractNum>
  <w:abstractNum w:abstractNumId="1">
    <w:nsid w:val="089BADB8"/>
    <w:multiLevelType w:val="singleLevel"/>
    <w:tmpl w:val="089BADB8"/>
    <w:lvl w:ilvl="0" w:tentative="0">
      <w:start w:val="6"/>
      <w:numFmt w:val="chineseCounting"/>
      <w:suff w:val="nothing"/>
      <w:lvlText w:val="%1、"/>
      <w:lvlJc w:val="left"/>
      <w:rPr>
        <w:rFonts w:hint="eastAsia"/>
      </w:rPr>
    </w:lvl>
  </w:abstractNum>
  <w:abstractNum w:abstractNumId="2">
    <w:nsid w:val="3D873EB0"/>
    <w:multiLevelType w:val="singleLevel"/>
    <w:tmpl w:val="3D873EB0"/>
    <w:lvl w:ilvl="0" w:tentative="0">
      <w:start w:val="3"/>
      <w:numFmt w:val="chineseCounting"/>
      <w:suff w:val="nothing"/>
      <w:lvlText w:val="（%1）"/>
      <w:lvlJc w:val="left"/>
      <w:rPr>
        <w:rFonts w:hint="eastAsia"/>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zMTM0YWY2OGZjYTAyNzMyZjcwM2E0MmJkMzVjOTYifQ=="/>
  </w:docVars>
  <w:rsids>
    <w:rsidRoot w:val="519D1CF7"/>
    <w:rsid w:val="00001B24"/>
    <w:rsid w:val="00002F94"/>
    <w:rsid w:val="00005014"/>
    <w:rsid w:val="000121E8"/>
    <w:rsid w:val="00013BE6"/>
    <w:rsid w:val="00032E3E"/>
    <w:rsid w:val="00043E4B"/>
    <w:rsid w:val="00044142"/>
    <w:rsid w:val="00050D5A"/>
    <w:rsid w:val="000546F0"/>
    <w:rsid w:val="00055EFF"/>
    <w:rsid w:val="00060FB8"/>
    <w:rsid w:val="00075D43"/>
    <w:rsid w:val="00083907"/>
    <w:rsid w:val="0008462A"/>
    <w:rsid w:val="00095773"/>
    <w:rsid w:val="000A3D99"/>
    <w:rsid w:val="000A581B"/>
    <w:rsid w:val="000B101B"/>
    <w:rsid w:val="000C0ECC"/>
    <w:rsid w:val="000C3980"/>
    <w:rsid w:val="000C5643"/>
    <w:rsid w:val="000D79A1"/>
    <w:rsid w:val="000E067A"/>
    <w:rsid w:val="00102666"/>
    <w:rsid w:val="001117F1"/>
    <w:rsid w:val="0011513C"/>
    <w:rsid w:val="00115237"/>
    <w:rsid w:val="00140558"/>
    <w:rsid w:val="001407C1"/>
    <w:rsid w:val="001500FF"/>
    <w:rsid w:val="00152F9F"/>
    <w:rsid w:val="00160F74"/>
    <w:rsid w:val="00161E8C"/>
    <w:rsid w:val="001815C0"/>
    <w:rsid w:val="00185769"/>
    <w:rsid w:val="00196342"/>
    <w:rsid w:val="001A3CC8"/>
    <w:rsid w:val="001B21CD"/>
    <w:rsid w:val="001B5943"/>
    <w:rsid w:val="001C048E"/>
    <w:rsid w:val="001C14CF"/>
    <w:rsid w:val="001D2992"/>
    <w:rsid w:val="001E3C7D"/>
    <w:rsid w:val="001F195E"/>
    <w:rsid w:val="002035A4"/>
    <w:rsid w:val="00203DCF"/>
    <w:rsid w:val="00203DE1"/>
    <w:rsid w:val="00211D9D"/>
    <w:rsid w:val="002161EE"/>
    <w:rsid w:val="00216C67"/>
    <w:rsid w:val="00216EC7"/>
    <w:rsid w:val="00226480"/>
    <w:rsid w:val="00242954"/>
    <w:rsid w:val="0025307D"/>
    <w:rsid w:val="00255A6B"/>
    <w:rsid w:val="0026206A"/>
    <w:rsid w:val="0026534E"/>
    <w:rsid w:val="00270EA2"/>
    <w:rsid w:val="00276FF2"/>
    <w:rsid w:val="0028188C"/>
    <w:rsid w:val="002827A8"/>
    <w:rsid w:val="00282E90"/>
    <w:rsid w:val="002B7393"/>
    <w:rsid w:val="002C4A0C"/>
    <w:rsid w:val="002D48D6"/>
    <w:rsid w:val="002E51F4"/>
    <w:rsid w:val="002E6D62"/>
    <w:rsid w:val="00300AE6"/>
    <w:rsid w:val="0031573C"/>
    <w:rsid w:val="00315E6E"/>
    <w:rsid w:val="003238E3"/>
    <w:rsid w:val="00324C47"/>
    <w:rsid w:val="003267F9"/>
    <w:rsid w:val="003275CE"/>
    <w:rsid w:val="0033708A"/>
    <w:rsid w:val="00337586"/>
    <w:rsid w:val="003403A7"/>
    <w:rsid w:val="00346650"/>
    <w:rsid w:val="00356D9F"/>
    <w:rsid w:val="003663DB"/>
    <w:rsid w:val="00386208"/>
    <w:rsid w:val="00386AEB"/>
    <w:rsid w:val="0038700B"/>
    <w:rsid w:val="003943E3"/>
    <w:rsid w:val="003A3712"/>
    <w:rsid w:val="003B0D1D"/>
    <w:rsid w:val="003C3CC3"/>
    <w:rsid w:val="003C54A2"/>
    <w:rsid w:val="003C7BEF"/>
    <w:rsid w:val="003D26E2"/>
    <w:rsid w:val="003E3219"/>
    <w:rsid w:val="003F26D7"/>
    <w:rsid w:val="003F2B58"/>
    <w:rsid w:val="00401E3A"/>
    <w:rsid w:val="0040403C"/>
    <w:rsid w:val="00405DC6"/>
    <w:rsid w:val="00414288"/>
    <w:rsid w:val="0042307B"/>
    <w:rsid w:val="00430D47"/>
    <w:rsid w:val="00435233"/>
    <w:rsid w:val="00435591"/>
    <w:rsid w:val="00470244"/>
    <w:rsid w:val="0047108C"/>
    <w:rsid w:val="00497223"/>
    <w:rsid w:val="004A403D"/>
    <w:rsid w:val="004B40B8"/>
    <w:rsid w:val="004C03FA"/>
    <w:rsid w:val="004C131A"/>
    <w:rsid w:val="004D2969"/>
    <w:rsid w:val="004E19D6"/>
    <w:rsid w:val="004E28B6"/>
    <w:rsid w:val="004E5869"/>
    <w:rsid w:val="00506810"/>
    <w:rsid w:val="00506E0B"/>
    <w:rsid w:val="00536636"/>
    <w:rsid w:val="005449DC"/>
    <w:rsid w:val="005459F0"/>
    <w:rsid w:val="005519B1"/>
    <w:rsid w:val="00560102"/>
    <w:rsid w:val="00564B0E"/>
    <w:rsid w:val="00585BDC"/>
    <w:rsid w:val="00590E6F"/>
    <w:rsid w:val="00595948"/>
    <w:rsid w:val="005A3A88"/>
    <w:rsid w:val="005A462F"/>
    <w:rsid w:val="005A5181"/>
    <w:rsid w:val="005B2C1A"/>
    <w:rsid w:val="005D1473"/>
    <w:rsid w:val="005E005B"/>
    <w:rsid w:val="005F35B4"/>
    <w:rsid w:val="005F4415"/>
    <w:rsid w:val="005F7EF9"/>
    <w:rsid w:val="00603DFC"/>
    <w:rsid w:val="0060460A"/>
    <w:rsid w:val="00613BD4"/>
    <w:rsid w:val="006231CA"/>
    <w:rsid w:val="00624176"/>
    <w:rsid w:val="00634F37"/>
    <w:rsid w:val="00640A0C"/>
    <w:rsid w:val="00643543"/>
    <w:rsid w:val="0065422E"/>
    <w:rsid w:val="006639DC"/>
    <w:rsid w:val="00665D4D"/>
    <w:rsid w:val="00667156"/>
    <w:rsid w:val="006705DE"/>
    <w:rsid w:val="00686A78"/>
    <w:rsid w:val="00694949"/>
    <w:rsid w:val="00695B9B"/>
    <w:rsid w:val="006B14A0"/>
    <w:rsid w:val="006B2160"/>
    <w:rsid w:val="006B379B"/>
    <w:rsid w:val="006C35AF"/>
    <w:rsid w:val="006C38E7"/>
    <w:rsid w:val="006C4E92"/>
    <w:rsid w:val="006E595C"/>
    <w:rsid w:val="006F0CDE"/>
    <w:rsid w:val="006F292B"/>
    <w:rsid w:val="006F52C0"/>
    <w:rsid w:val="006F754C"/>
    <w:rsid w:val="00701BC3"/>
    <w:rsid w:val="00702E0F"/>
    <w:rsid w:val="00703E9B"/>
    <w:rsid w:val="00710A01"/>
    <w:rsid w:val="00714371"/>
    <w:rsid w:val="00747A5A"/>
    <w:rsid w:val="00750E2D"/>
    <w:rsid w:val="007544B3"/>
    <w:rsid w:val="00763925"/>
    <w:rsid w:val="00791832"/>
    <w:rsid w:val="007B25E2"/>
    <w:rsid w:val="007C2F5A"/>
    <w:rsid w:val="007C560D"/>
    <w:rsid w:val="007D2B97"/>
    <w:rsid w:val="007E015A"/>
    <w:rsid w:val="007E4D15"/>
    <w:rsid w:val="007F0C24"/>
    <w:rsid w:val="007F2005"/>
    <w:rsid w:val="00816B58"/>
    <w:rsid w:val="00831FD0"/>
    <w:rsid w:val="00832AD2"/>
    <w:rsid w:val="00833ACD"/>
    <w:rsid w:val="0083461A"/>
    <w:rsid w:val="00837136"/>
    <w:rsid w:val="00837944"/>
    <w:rsid w:val="00844DAD"/>
    <w:rsid w:val="00857573"/>
    <w:rsid w:val="00861089"/>
    <w:rsid w:val="00862908"/>
    <w:rsid w:val="0087139F"/>
    <w:rsid w:val="0087409F"/>
    <w:rsid w:val="00881684"/>
    <w:rsid w:val="00882053"/>
    <w:rsid w:val="008821FF"/>
    <w:rsid w:val="008872A0"/>
    <w:rsid w:val="00893D2B"/>
    <w:rsid w:val="008A1265"/>
    <w:rsid w:val="008C756B"/>
    <w:rsid w:val="008D42AE"/>
    <w:rsid w:val="008D55AD"/>
    <w:rsid w:val="008D5F89"/>
    <w:rsid w:val="008E377B"/>
    <w:rsid w:val="008E55EA"/>
    <w:rsid w:val="008E69E0"/>
    <w:rsid w:val="00914100"/>
    <w:rsid w:val="00922B69"/>
    <w:rsid w:val="00932DF2"/>
    <w:rsid w:val="009439C4"/>
    <w:rsid w:val="00945E97"/>
    <w:rsid w:val="0095067C"/>
    <w:rsid w:val="00950DCA"/>
    <w:rsid w:val="00951128"/>
    <w:rsid w:val="009539A0"/>
    <w:rsid w:val="0095460A"/>
    <w:rsid w:val="00955051"/>
    <w:rsid w:val="0096611C"/>
    <w:rsid w:val="00972D30"/>
    <w:rsid w:val="0097493F"/>
    <w:rsid w:val="009905EE"/>
    <w:rsid w:val="009A3E42"/>
    <w:rsid w:val="009C357C"/>
    <w:rsid w:val="009C3E41"/>
    <w:rsid w:val="009C3FED"/>
    <w:rsid w:val="009D219B"/>
    <w:rsid w:val="009D6A85"/>
    <w:rsid w:val="009E6282"/>
    <w:rsid w:val="009E6E68"/>
    <w:rsid w:val="00A00F74"/>
    <w:rsid w:val="00A011BD"/>
    <w:rsid w:val="00A151ED"/>
    <w:rsid w:val="00A15B62"/>
    <w:rsid w:val="00A215F1"/>
    <w:rsid w:val="00A32889"/>
    <w:rsid w:val="00A43180"/>
    <w:rsid w:val="00A46C8E"/>
    <w:rsid w:val="00A62FB7"/>
    <w:rsid w:val="00A74120"/>
    <w:rsid w:val="00A82824"/>
    <w:rsid w:val="00A83DE1"/>
    <w:rsid w:val="00A9559D"/>
    <w:rsid w:val="00AB3250"/>
    <w:rsid w:val="00AB40BB"/>
    <w:rsid w:val="00AC490F"/>
    <w:rsid w:val="00AD5DAF"/>
    <w:rsid w:val="00AE564D"/>
    <w:rsid w:val="00B01AE6"/>
    <w:rsid w:val="00B02634"/>
    <w:rsid w:val="00B02729"/>
    <w:rsid w:val="00B1622E"/>
    <w:rsid w:val="00B16AE6"/>
    <w:rsid w:val="00B16B39"/>
    <w:rsid w:val="00B203DD"/>
    <w:rsid w:val="00B2199C"/>
    <w:rsid w:val="00B22AF0"/>
    <w:rsid w:val="00B27091"/>
    <w:rsid w:val="00B36394"/>
    <w:rsid w:val="00B409C0"/>
    <w:rsid w:val="00B44879"/>
    <w:rsid w:val="00B45B8C"/>
    <w:rsid w:val="00B479EC"/>
    <w:rsid w:val="00B51399"/>
    <w:rsid w:val="00B84C00"/>
    <w:rsid w:val="00B87200"/>
    <w:rsid w:val="00B91871"/>
    <w:rsid w:val="00B96F61"/>
    <w:rsid w:val="00BA1E1D"/>
    <w:rsid w:val="00BB3CA7"/>
    <w:rsid w:val="00BC37C6"/>
    <w:rsid w:val="00BC3DCA"/>
    <w:rsid w:val="00BC7E57"/>
    <w:rsid w:val="00BE481B"/>
    <w:rsid w:val="00BE4E6B"/>
    <w:rsid w:val="00BE533E"/>
    <w:rsid w:val="00BF74EA"/>
    <w:rsid w:val="00C05F37"/>
    <w:rsid w:val="00C163BF"/>
    <w:rsid w:val="00C21769"/>
    <w:rsid w:val="00C54B88"/>
    <w:rsid w:val="00C54DDC"/>
    <w:rsid w:val="00C575BC"/>
    <w:rsid w:val="00C57E2E"/>
    <w:rsid w:val="00C61731"/>
    <w:rsid w:val="00C63A1D"/>
    <w:rsid w:val="00C80F7B"/>
    <w:rsid w:val="00C82AA0"/>
    <w:rsid w:val="00C860C3"/>
    <w:rsid w:val="00CA1870"/>
    <w:rsid w:val="00CA52F4"/>
    <w:rsid w:val="00CB1BDB"/>
    <w:rsid w:val="00CB388B"/>
    <w:rsid w:val="00CB794E"/>
    <w:rsid w:val="00CD1107"/>
    <w:rsid w:val="00CD25E5"/>
    <w:rsid w:val="00CE1317"/>
    <w:rsid w:val="00CE2F9E"/>
    <w:rsid w:val="00CE7451"/>
    <w:rsid w:val="00CF2423"/>
    <w:rsid w:val="00D023D5"/>
    <w:rsid w:val="00D02F4B"/>
    <w:rsid w:val="00D030BD"/>
    <w:rsid w:val="00D15BD2"/>
    <w:rsid w:val="00D162AE"/>
    <w:rsid w:val="00D16FBC"/>
    <w:rsid w:val="00D278C6"/>
    <w:rsid w:val="00D310B9"/>
    <w:rsid w:val="00D31547"/>
    <w:rsid w:val="00D35832"/>
    <w:rsid w:val="00D4129C"/>
    <w:rsid w:val="00D53770"/>
    <w:rsid w:val="00D6602A"/>
    <w:rsid w:val="00D73703"/>
    <w:rsid w:val="00D900CF"/>
    <w:rsid w:val="00D94FC2"/>
    <w:rsid w:val="00D96748"/>
    <w:rsid w:val="00D97432"/>
    <w:rsid w:val="00DA2F42"/>
    <w:rsid w:val="00DA31F9"/>
    <w:rsid w:val="00DB23C6"/>
    <w:rsid w:val="00DB4B06"/>
    <w:rsid w:val="00DB777F"/>
    <w:rsid w:val="00DC4E1D"/>
    <w:rsid w:val="00DD1F53"/>
    <w:rsid w:val="00DD2644"/>
    <w:rsid w:val="00DD5DE7"/>
    <w:rsid w:val="00DE454D"/>
    <w:rsid w:val="00DF5638"/>
    <w:rsid w:val="00E024FA"/>
    <w:rsid w:val="00E0361C"/>
    <w:rsid w:val="00E25FC2"/>
    <w:rsid w:val="00E3543F"/>
    <w:rsid w:val="00E40DC3"/>
    <w:rsid w:val="00E418B8"/>
    <w:rsid w:val="00E50DA2"/>
    <w:rsid w:val="00E55A55"/>
    <w:rsid w:val="00E63332"/>
    <w:rsid w:val="00E73D73"/>
    <w:rsid w:val="00E750F9"/>
    <w:rsid w:val="00E948EB"/>
    <w:rsid w:val="00E97B29"/>
    <w:rsid w:val="00EA0C06"/>
    <w:rsid w:val="00EA6258"/>
    <w:rsid w:val="00EB58F2"/>
    <w:rsid w:val="00EB6126"/>
    <w:rsid w:val="00EC5F88"/>
    <w:rsid w:val="00EC7822"/>
    <w:rsid w:val="00ED3512"/>
    <w:rsid w:val="00EE0DC4"/>
    <w:rsid w:val="00EF45FB"/>
    <w:rsid w:val="00EF6162"/>
    <w:rsid w:val="00EF7D93"/>
    <w:rsid w:val="00F041C9"/>
    <w:rsid w:val="00F05431"/>
    <w:rsid w:val="00F05580"/>
    <w:rsid w:val="00F071BD"/>
    <w:rsid w:val="00F07248"/>
    <w:rsid w:val="00F07364"/>
    <w:rsid w:val="00F271FA"/>
    <w:rsid w:val="00F35C0A"/>
    <w:rsid w:val="00F44087"/>
    <w:rsid w:val="00F4542B"/>
    <w:rsid w:val="00F630A1"/>
    <w:rsid w:val="00F65D30"/>
    <w:rsid w:val="00F835B7"/>
    <w:rsid w:val="00FA14BD"/>
    <w:rsid w:val="00FA42FC"/>
    <w:rsid w:val="00FB57CB"/>
    <w:rsid w:val="00FC7557"/>
    <w:rsid w:val="00FD4358"/>
    <w:rsid w:val="00FF09CC"/>
    <w:rsid w:val="00FF26DD"/>
    <w:rsid w:val="01283149"/>
    <w:rsid w:val="018207C5"/>
    <w:rsid w:val="018C12B8"/>
    <w:rsid w:val="01C01CF6"/>
    <w:rsid w:val="0214408E"/>
    <w:rsid w:val="021E606B"/>
    <w:rsid w:val="02827E46"/>
    <w:rsid w:val="02AC1A4C"/>
    <w:rsid w:val="02BD75DA"/>
    <w:rsid w:val="02DD1A2B"/>
    <w:rsid w:val="02EA4873"/>
    <w:rsid w:val="03723AAB"/>
    <w:rsid w:val="03773022"/>
    <w:rsid w:val="03EC5E62"/>
    <w:rsid w:val="045427D6"/>
    <w:rsid w:val="04550D97"/>
    <w:rsid w:val="04671EF4"/>
    <w:rsid w:val="04D01AA6"/>
    <w:rsid w:val="053368C3"/>
    <w:rsid w:val="054A784B"/>
    <w:rsid w:val="05B42F17"/>
    <w:rsid w:val="05F51EE6"/>
    <w:rsid w:val="062C51A3"/>
    <w:rsid w:val="062F6A41"/>
    <w:rsid w:val="06D80E87"/>
    <w:rsid w:val="0709214B"/>
    <w:rsid w:val="07127697"/>
    <w:rsid w:val="072E7080"/>
    <w:rsid w:val="07345CB0"/>
    <w:rsid w:val="0738659A"/>
    <w:rsid w:val="073A6B19"/>
    <w:rsid w:val="07784D3F"/>
    <w:rsid w:val="079F0753"/>
    <w:rsid w:val="07C60BC4"/>
    <w:rsid w:val="07F74CC1"/>
    <w:rsid w:val="07FC2953"/>
    <w:rsid w:val="08175BF0"/>
    <w:rsid w:val="08253C58"/>
    <w:rsid w:val="082D6FB0"/>
    <w:rsid w:val="083877B4"/>
    <w:rsid w:val="083D3860"/>
    <w:rsid w:val="087A303F"/>
    <w:rsid w:val="08E753B1"/>
    <w:rsid w:val="08F024B8"/>
    <w:rsid w:val="09625F7D"/>
    <w:rsid w:val="09F00295"/>
    <w:rsid w:val="09F32CC8"/>
    <w:rsid w:val="0A2F3358"/>
    <w:rsid w:val="0AAC1191"/>
    <w:rsid w:val="0B3D575C"/>
    <w:rsid w:val="0B3F1756"/>
    <w:rsid w:val="0B47788C"/>
    <w:rsid w:val="0B4B60CB"/>
    <w:rsid w:val="0B5C6A2C"/>
    <w:rsid w:val="0C2E654E"/>
    <w:rsid w:val="0C3A283F"/>
    <w:rsid w:val="0C4843B9"/>
    <w:rsid w:val="0CDB347F"/>
    <w:rsid w:val="0E441F1B"/>
    <w:rsid w:val="0ED634E2"/>
    <w:rsid w:val="0F056591"/>
    <w:rsid w:val="0F090E8D"/>
    <w:rsid w:val="0F1554A3"/>
    <w:rsid w:val="0F6B0AEA"/>
    <w:rsid w:val="0FDF5034"/>
    <w:rsid w:val="0FEA38E6"/>
    <w:rsid w:val="102313C5"/>
    <w:rsid w:val="10521CAA"/>
    <w:rsid w:val="10686DD7"/>
    <w:rsid w:val="10A02A15"/>
    <w:rsid w:val="10DD085A"/>
    <w:rsid w:val="110D797F"/>
    <w:rsid w:val="11E84674"/>
    <w:rsid w:val="12455AB6"/>
    <w:rsid w:val="124D7972"/>
    <w:rsid w:val="12573DD8"/>
    <w:rsid w:val="12CD73C6"/>
    <w:rsid w:val="12DA1A80"/>
    <w:rsid w:val="130432F9"/>
    <w:rsid w:val="1335225D"/>
    <w:rsid w:val="13392CAD"/>
    <w:rsid w:val="13851177"/>
    <w:rsid w:val="13906809"/>
    <w:rsid w:val="13B11452"/>
    <w:rsid w:val="13F15336"/>
    <w:rsid w:val="141D437D"/>
    <w:rsid w:val="148830D3"/>
    <w:rsid w:val="14AD4F39"/>
    <w:rsid w:val="14EB7FD7"/>
    <w:rsid w:val="14F46918"/>
    <w:rsid w:val="15035321"/>
    <w:rsid w:val="151722E8"/>
    <w:rsid w:val="154A6FCB"/>
    <w:rsid w:val="158F12AA"/>
    <w:rsid w:val="159D01B3"/>
    <w:rsid w:val="16227A29"/>
    <w:rsid w:val="16B234A2"/>
    <w:rsid w:val="16D25FE4"/>
    <w:rsid w:val="16E01DBD"/>
    <w:rsid w:val="17281DBD"/>
    <w:rsid w:val="17696EA4"/>
    <w:rsid w:val="177C13BA"/>
    <w:rsid w:val="17C05D2E"/>
    <w:rsid w:val="17C84600"/>
    <w:rsid w:val="183B3024"/>
    <w:rsid w:val="18A053BF"/>
    <w:rsid w:val="18A61A6D"/>
    <w:rsid w:val="19412718"/>
    <w:rsid w:val="198D3D53"/>
    <w:rsid w:val="19EC366C"/>
    <w:rsid w:val="19F1369D"/>
    <w:rsid w:val="1A295829"/>
    <w:rsid w:val="1A45705D"/>
    <w:rsid w:val="1A474A46"/>
    <w:rsid w:val="1A815666"/>
    <w:rsid w:val="1B095248"/>
    <w:rsid w:val="1B0B3181"/>
    <w:rsid w:val="1B625CA6"/>
    <w:rsid w:val="1B782270"/>
    <w:rsid w:val="1B8D71D0"/>
    <w:rsid w:val="1C055DB7"/>
    <w:rsid w:val="1C0A20DA"/>
    <w:rsid w:val="1C6F14EE"/>
    <w:rsid w:val="1D077978"/>
    <w:rsid w:val="1D266050"/>
    <w:rsid w:val="1D5B38B9"/>
    <w:rsid w:val="1D6664F0"/>
    <w:rsid w:val="1D6A556A"/>
    <w:rsid w:val="1DA80C88"/>
    <w:rsid w:val="1DCD3093"/>
    <w:rsid w:val="1DFC3255"/>
    <w:rsid w:val="1E5F5CBE"/>
    <w:rsid w:val="1E7332C8"/>
    <w:rsid w:val="1E8F4FFA"/>
    <w:rsid w:val="1ED17956"/>
    <w:rsid w:val="1F081D5A"/>
    <w:rsid w:val="1F9B2E38"/>
    <w:rsid w:val="1FA63307"/>
    <w:rsid w:val="1FD875CF"/>
    <w:rsid w:val="20564B71"/>
    <w:rsid w:val="20B36CE3"/>
    <w:rsid w:val="20D8656C"/>
    <w:rsid w:val="21163BF6"/>
    <w:rsid w:val="21380A48"/>
    <w:rsid w:val="21701F90"/>
    <w:rsid w:val="21CB5418"/>
    <w:rsid w:val="21E169EA"/>
    <w:rsid w:val="221A7FF5"/>
    <w:rsid w:val="225F32E2"/>
    <w:rsid w:val="22621A1B"/>
    <w:rsid w:val="226A69DF"/>
    <w:rsid w:val="228B3843"/>
    <w:rsid w:val="22A84062"/>
    <w:rsid w:val="22D8603F"/>
    <w:rsid w:val="23076924"/>
    <w:rsid w:val="23966B7F"/>
    <w:rsid w:val="239F3C04"/>
    <w:rsid w:val="23E427C1"/>
    <w:rsid w:val="24577437"/>
    <w:rsid w:val="25311A36"/>
    <w:rsid w:val="25604876"/>
    <w:rsid w:val="25643BBA"/>
    <w:rsid w:val="257215AC"/>
    <w:rsid w:val="25B032A3"/>
    <w:rsid w:val="26420EB5"/>
    <w:rsid w:val="266F0A68"/>
    <w:rsid w:val="268F4C66"/>
    <w:rsid w:val="26A0755A"/>
    <w:rsid w:val="26A10E3D"/>
    <w:rsid w:val="26BE379D"/>
    <w:rsid w:val="26C32B62"/>
    <w:rsid w:val="26E256DE"/>
    <w:rsid w:val="27547C5E"/>
    <w:rsid w:val="278A18D2"/>
    <w:rsid w:val="27A97FAA"/>
    <w:rsid w:val="27C06B43"/>
    <w:rsid w:val="27EE3C0E"/>
    <w:rsid w:val="28CB3F50"/>
    <w:rsid w:val="28DA0A2B"/>
    <w:rsid w:val="28FE60D3"/>
    <w:rsid w:val="292C0D62"/>
    <w:rsid w:val="295E782A"/>
    <w:rsid w:val="29820AB2"/>
    <w:rsid w:val="29DB6053"/>
    <w:rsid w:val="2A0720B6"/>
    <w:rsid w:val="2A1B0056"/>
    <w:rsid w:val="2A4B5CF6"/>
    <w:rsid w:val="2A751454"/>
    <w:rsid w:val="2AC9079F"/>
    <w:rsid w:val="2AD049CC"/>
    <w:rsid w:val="2AF27EBA"/>
    <w:rsid w:val="2B0B2D29"/>
    <w:rsid w:val="2B2B6F28"/>
    <w:rsid w:val="2B6D6C75"/>
    <w:rsid w:val="2B8F26B7"/>
    <w:rsid w:val="2BA86269"/>
    <w:rsid w:val="2C1002FA"/>
    <w:rsid w:val="2C631AB5"/>
    <w:rsid w:val="2C9C24A8"/>
    <w:rsid w:val="2CDE24A4"/>
    <w:rsid w:val="2D265BF9"/>
    <w:rsid w:val="2D7C77C8"/>
    <w:rsid w:val="2DC67FC8"/>
    <w:rsid w:val="2DCB2508"/>
    <w:rsid w:val="2E50092C"/>
    <w:rsid w:val="2ECE39D1"/>
    <w:rsid w:val="2EE95130"/>
    <w:rsid w:val="2F0200E9"/>
    <w:rsid w:val="2F0957D2"/>
    <w:rsid w:val="2F2B3F63"/>
    <w:rsid w:val="2F365C0F"/>
    <w:rsid w:val="2F5B427F"/>
    <w:rsid w:val="2FD01F62"/>
    <w:rsid w:val="2FF30564"/>
    <w:rsid w:val="30057C8A"/>
    <w:rsid w:val="30730DBD"/>
    <w:rsid w:val="30744ECD"/>
    <w:rsid w:val="30A532D8"/>
    <w:rsid w:val="30DA494C"/>
    <w:rsid w:val="30FD4EC2"/>
    <w:rsid w:val="31A43BF9"/>
    <w:rsid w:val="31DF780A"/>
    <w:rsid w:val="31EC5663"/>
    <w:rsid w:val="32096215"/>
    <w:rsid w:val="326A19EA"/>
    <w:rsid w:val="32793EFD"/>
    <w:rsid w:val="33386686"/>
    <w:rsid w:val="33CF6FEA"/>
    <w:rsid w:val="34140EA1"/>
    <w:rsid w:val="342B7AB7"/>
    <w:rsid w:val="34343A06"/>
    <w:rsid w:val="344A57F2"/>
    <w:rsid w:val="34A71D15"/>
    <w:rsid w:val="350E3B42"/>
    <w:rsid w:val="350E6264"/>
    <w:rsid w:val="35213875"/>
    <w:rsid w:val="357A34CD"/>
    <w:rsid w:val="358A10EE"/>
    <w:rsid w:val="369F3503"/>
    <w:rsid w:val="36B050FB"/>
    <w:rsid w:val="36F40B16"/>
    <w:rsid w:val="373A29CC"/>
    <w:rsid w:val="37917A80"/>
    <w:rsid w:val="37C43BC7"/>
    <w:rsid w:val="38057E77"/>
    <w:rsid w:val="380B4725"/>
    <w:rsid w:val="382A0C93"/>
    <w:rsid w:val="385201EA"/>
    <w:rsid w:val="386B1E92"/>
    <w:rsid w:val="387B4F33"/>
    <w:rsid w:val="389268E7"/>
    <w:rsid w:val="38D40BFF"/>
    <w:rsid w:val="38F34FAE"/>
    <w:rsid w:val="39453564"/>
    <w:rsid w:val="39461AFC"/>
    <w:rsid w:val="39490856"/>
    <w:rsid w:val="39553AED"/>
    <w:rsid w:val="39621AA2"/>
    <w:rsid w:val="396A0AD2"/>
    <w:rsid w:val="3986639D"/>
    <w:rsid w:val="39881907"/>
    <w:rsid w:val="39F74BA5"/>
    <w:rsid w:val="3A0D261A"/>
    <w:rsid w:val="3A3C25F6"/>
    <w:rsid w:val="3A4C424C"/>
    <w:rsid w:val="3AAB5C2F"/>
    <w:rsid w:val="3AD34A20"/>
    <w:rsid w:val="3B133765"/>
    <w:rsid w:val="3B4F3FC6"/>
    <w:rsid w:val="3B5636C0"/>
    <w:rsid w:val="3B6867AE"/>
    <w:rsid w:val="3B7F7E79"/>
    <w:rsid w:val="3B8C11C2"/>
    <w:rsid w:val="3B971038"/>
    <w:rsid w:val="3BB870F5"/>
    <w:rsid w:val="3BC845D2"/>
    <w:rsid w:val="3BD66D03"/>
    <w:rsid w:val="3BE44E5B"/>
    <w:rsid w:val="3BF9596B"/>
    <w:rsid w:val="3BFA097C"/>
    <w:rsid w:val="3BFA37AC"/>
    <w:rsid w:val="3C0F7DEC"/>
    <w:rsid w:val="3C5951C7"/>
    <w:rsid w:val="3C8524DE"/>
    <w:rsid w:val="3CE20411"/>
    <w:rsid w:val="3D394B53"/>
    <w:rsid w:val="3DD1395F"/>
    <w:rsid w:val="3DD6649B"/>
    <w:rsid w:val="3DEC051B"/>
    <w:rsid w:val="3DF258A3"/>
    <w:rsid w:val="3E3344A2"/>
    <w:rsid w:val="3E67711A"/>
    <w:rsid w:val="3E6A7D3C"/>
    <w:rsid w:val="3EA3354D"/>
    <w:rsid w:val="3EA370A9"/>
    <w:rsid w:val="3F304F84"/>
    <w:rsid w:val="3F630EC9"/>
    <w:rsid w:val="3FA658FF"/>
    <w:rsid w:val="3FBD063E"/>
    <w:rsid w:val="40081130"/>
    <w:rsid w:val="400A5113"/>
    <w:rsid w:val="4020487A"/>
    <w:rsid w:val="40277C28"/>
    <w:rsid w:val="408847A8"/>
    <w:rsid w:val="40B97EBB"/>
    <w:rsid w:val="410511D7"/>
    <w:rsid w:val="41466816"/>
    <w:rsid w:val="41523008"/>
    <w:rsid w:val="42594681"/>
    <w:rsid w:val="43CE1D42"/>
    <w:rsid w:val="43F06E43"/>
    <w:rsid w:val="43F47939"/>
    <w:rsid w:val="43FD6849"/>
    <w:rsid w:val="446D0400"/>
    <w:rsid w:val="44867251"/>
    <w:rsid w:val="44A60D9C"/>
    <w:rsid w:val="44BC5A09"/>
    <w:rsid w:val="458F46CB"/>
    <w:rsid w:val="45CD0EAF"/>
    <w:rsid w:val="45F63EB5"/>
    <w:rsid w:val="46030D77"/>
    <w:rsid w:val="460654E1"/>
    <w:rsid w:val="461507D2"/>
    <w:rsid w:val="463B28A6"/>
    <w:rsid w:val="463F726F"/>
    <w:rsid w:val="46416C53"/>
    <w:rsid w:val="467A0DD8"/>
    <w:rsid w:val="46D02BFF"/>
    <w:rsid w:val="46D5626E"/>
    <w:rsid w:val="46E743A1"/>
    <w:rsid w:val="472F6F1A"/>
    <w:rsid w:val="474465A6"/>
    <w:rsid w:val="475303CF"/>
    <w:rsid w:val="475E6263"/>
    <w:rsid w:val="475E648B"/>
    <w:rsid w:val="475F1FDB"/>
    <w:rsid w:val="47655619"/>
    <w:rsid w:val="478032F3"/>
    <w:rsid w:val="47975C19"/>
    <w:rsid w:val="47FB38C2"/>
    <w:rsid w:val="484725FF"/>
    <w:rsid w:val="487D61CE"/>
    <w:rsid w:val="48BD3615"/>
    <w:rsid w:val="492D1526"/>
    <w:rsid w:val="4953791E"/>
    <w:rsid w:val="49B151DD"/>
    <w:rsid w:val="4A3F52B9"/>
    <w:rsid w:val="4A73596B"/>
    <w:rsid w:val="4A851D59"/>
    <w:rsid w:val="4A954692"/>
    <w:rsid w:val="4AAD305D"/>
    <w:rsid w:val="4AD00EE6"/>
    <w:rsid w:val="4B07709C"/>
    <w:rsid w:val="4B087A5C"/>
    <w:rsid w:val="4BE510B9"/>
    <w:rsid w:val="4C102D4F"/>
    <w:rsid w:val="4C40062D"/>
    <w:rsid w:val="4CC9040F"/>
    <w:rsid w:val="4CD11285"/>
    <w:rsid w:val="4CEC60BF"/>
    <w:rsid w:val="4D21045F"/>
    <w:rsid w:val="4D47680C"/>
    <w:rsid w:val="4D611673"/>
    <w:rsid w:val="4D7A6B5A"/>
    <w:rsid w:val="4D9C3725"/>
    <w:rsid w:val="4DA134BE"/>
    <w:rsid w:val="4DCD4142"/>
    <w:rsid w:val="4DED20EF"/>
    <w:rsid w:val="4DF80A94"/>
    <w:rsid w:val="4E6D1043"/>
    <w:rsid w:val="4ED67027"/>
    <w:rsid w:val="4EDD2163"/>
    <w:rsid w:val="4F1239E8"/>
    <w:rsid w:val="4F766D5C"/>
    <w:rsid w:val="4FC753FA"/>
    <w:rsid w:val="50007038"/>
    <w:rsid w:val="5025093B"/>
    <w:rsid w:val="502E1BC4"/>
    <w:rsid w:val="50904956"/>
    <w:rsid w:val="50C35389"/>
    <w:rsid w:val="50CA2BBB"/>
    <w:rsid w:val="50CF01D2"/>
    <w:rsid w:val="50D457E8"/>
    <w:rsid w:val="50FB2D75"/>
    <w:rsid w:val="50FC5B03"/>
    <w:rsid w:val="5102087D"/>
    <w:rsid w:val="5118732D"/>
    <w:rsid w:val="51620E39"/>
    <w:rsid w:val="51730B5D"/>
    <w:rsid w:val="519D1CF7"/>
    <w:rsid w:val="51CF087F"/>
    <w:rsid w:val="52140592"/>
    <w:rsid w:val="52181704"/>
    <w:rsid w:val="523A1FC0"/>
    <w:rsid w:val="523B5AFA"/>
    <w:rsid w:val="52961456"/>
    <w:rsid w:val="52CA2772"/>
    <w:rsid w:val="52D43CBA"/>
    <w:rsid w:val="53107A44"/>
    <w:rsid w:val="53652C9C"/>
    <w:rsid w:val="53DD66BF"/>
    <w:rsid w:val="53FD2134"/>
    <w:rsid w:val="54181E8F"/>
    <w:rsid w:val="541A79B6"/>
    <w:rsid w:val="542353B4"/>
    <w:rsid w:val="5474412E"/>
    <w:rsid w:val="54B03DD7"/>
    <w:rsid w:val="54C0055D"/>
    <w:rsid w:val="55463523"/>
    <w:rsid w:val="555028D1"/>
    <w:rsid w:val="55946A5F"/>
    <w:rsid w:val="55D02A22"/>
    <w:rsid w:val="562D5153"/>
    <w:rsid w:val="563373BF"/>
    <w:rsid w:val="563A69AA"/>
    <w:rsid w:val="566D1A5C"/>
    <w:rsid w:val="56765986"/>
    <w:rsid w:val="56803669"/>
    <w:rsid w:val="56AC7D43"/>
    <w:rsid w:val="56B75990"/>
    <w:rsid w:val="57CB7B67"/>
    <w:rsid w:val="582A3F3F"/>
    <w:rsid w:val="586C27AA"/>
    <w:rsid w:val="586C6306"/>
    <w:rsid w:val="588F1563"/>
    <w:rsid w:val="58BE3005"/>
    <w:rsid w:val="58CE2783"/>
    <w:rsid w:val="58F9403E"/>
    <w:rsid w:val="590C5D30"/>
    <w:rsid w:val="595F3FE6"/>
    <w:rsid w:val="5987789B"/>
    <w:rsid w:val="598B50D6"/>
    <w:rsid w:val="59A83BCB"/>
    <w:rsid w:val="59F72C0B"/>
    <w:rsid w:val="59FD16BE"/>
    <w:rsid w:val="5A4E2167"/>
    <w:rsid w:val="5AE11FBB"/>
    <w:rsid w:val="5B0D3DD0"/>
    <w:rsid w:val="5B2D7FCE"/>
    <w:rsid w:val="5B316991"/>
    <w:rsid w:val="5B8206A3"/>
    <w:rsid w:val="5BC32115"/>
    <w:rsid w:val="5BC55565"/>
    <w:rsid w:val="5BE04317"/>
    <w:rsid w:val="5BF411F0"/>
    <w:rsid w:val="5C0F5926"/>
    <w:rsid w:val="5C1473E0"/>
    <w:rsid w:val="5C8C67BC"/>
    <w:rsid w:val="5C903C9F"/>
    <w:rsid w:val="5CDB1AD3"/>
    <w:rsid w:val="5D085F3B"/>
    <w:rsid w:val="5E18110B"/>
    <w:rsid w:val="5E762012"/>
    <w:rsid w:val="5E792A8F"/>
    <w:rsid w:val="5EBD78BB"/>
    <w:rsid w:val="5EC44EB6"/>
    <w:rsid w:val="5F367441"/>
    <w:rsid w:val="5FAC13AF"/>
    <w:rsid w:val="5FCC4D6F"/>
    <w:rsid w:val="60B67442"/>
    <w:rsid w:val="61135EB8"/>
    <w:rsid w:val="6171498D"/>
    <w:rsid w:val="619C5EAE"/>
    <w:rsid w:val="61E33ADD"/>
    <w:rsid w:val="626F35C2"/>
    <w:rsid w:val="628250A4"/>
    <w:rsid w:val="628F156F"/>
    <w:rsid w:val="63366781"/>
    <w:rsid w:val="638766EA"/>
    <w:rsid w:val="63BC6393"/>
    <w:rsid w:val="63E37DC4"/>
    <w:rsid w:val="646D58E0"/>
    <w:rsid w:val="64A42A9C"/>
    <w:rsid w:val="64D04F68"/>
    <w:rsid w:val="64E86554"/>
    <w:rsid w:val="657809E0"/>
    <w:rsid w:val="6578453C"/>
    <w:rsid w:val="65960121"/>
    <w:rsid w:val="65E73470"/>
    <w:rsid w:val="65ED7EC4"/>
    <w:rsid w:val="66F51BF3"/>
    <w:rsid w:val="672E4A44"/>
    <w:rsid w:val="6731269C"/>
    <w:rsid w:val="67510DE6"/>
    <w:rsid w:val="67696462"/>
    <w:rsid w:val="67A27F96"/>
    <w:rsid w:val="67A90AC3"/>
    <w:rsid w:val="68F62348"/>
    <w:rsid w:val="69AE49D0"/>
    <w:rsid w:val="69C4354C"/>
    <w:rsid w:val="69DB4FCC"/>
    <w:rsid w:val="6A193DAC"/>
    <w:rsid w:val="6A5A4B58"/>
    <w:rsid w:val="6B376C47"/>
    <w:rsid w:val="6B4A4B98"/>
    <w:rsid w:val="6B572E46"/>
    <w:rsid w:val="6B82622F"/>
    <w:rsid w:val="6C537AB1"/>
    <w:rsid w:val="6C5C16E0"/>
    <w:rsid w:val="6C615D2A"/>
    <w:rsid w:val="6D486EEA"/>
    <w:rsid w:val="6D57712D"/>
    <w:rsid w:val="6D885538"/>
    <w:rsid w:val="6D8C327A"/>
    <w:rsid w:val="6DD77BDF"/>
    <w:rsid w:val="6E313E22"/>
    <w:rsid w:val="6E895A0C"/>
    <w:rsid w:val="6F762B59"/>
    <w:rsid w:val="6F806E0F"/>
    <w:rsid w:val="6FAD0821"/>
    <w:rsid w:val="6FD20B82"/>
    <w:rsid w:val="6FE00AA5"/>
    <w:rsid w:val="6FE253D4"/>
    <w:rsid w:val="6FFE5F86"/>
    <w:rsid w:val="70094F2B"/>
    <w:rsid w:val="701313A8"/>
    <w:rsid w:val="702404FB"/>
    <w:rsid w:val="7064228D"/>
    <w:rsid w:val="70785D38"/>
    <w:rsid w:val="707B1384"/>
    <w:rsid w:val="71C61779"/>
    <w:rsid w:val="71E2790D"/>
    <w:rsid w:val="71E76CD1"/>
    <w:rsid w:val="721D6B97"/>
    <w:rsid w:val="728B4B00"/>
    <w:rsid w:val="729F75AC"/>
    <w:rsid w:val="73182709"/>
    <w:rsid w:val="73513FC9"/>
    <w:rsid w:val="7372081D"/>
    <w:rsid w:val="73A41480"/>
    <w:rsid w:val="73E060CE"/>
    <w:rsid w:val="73FE47A6"/>
    <w:rsid w:val="74492891"/>
    <w:rsid w:val="74583F47"/>
    <w:rsid w:val="74A617E4"/>
    <w:rsid w:val="74E870FB"/>
    <w:rsid w:val="74EE6E76"/>
    <w:rsid w:val="74EF36B5"/>
    <w:rsid w:val="75073B27"/>
    <w:rsid w:val="75192DCB"/>
    <w:rsid w:val="751C1388"/>
    <w:rsid w:val="755723C0"/>
    <w:rsid w:val="75577FC3"/>
    <w:rsid w:val="75640639"/>
    <w:rsid w:val="75701447"/>
    <w:rsid w:val="75896940"/>
    <w:rsid w:val="758D616C"/>
    <w:rsid w:val="75960D46"/>
    <w:rsid w:val="75BE5F9B"/>
    <w:rsid w:val="774D3A7A"/>
    <w:rsid w:val="777D50E0"/>
    <w:rsid w:val="77A46913"/>
    <w:rsid w:val="78536EC7"/>
    <w:rsid w:val="78544995"/>
    <w:rsid w:val="787D3050"/>
    <w:rsid w:val="792D4414"/>
    <w:rsid w:val="79532E9E"/>
    <w:rsid w:val="7961380D"/>
    <w:rsid w:val="79A27982"/>
    <w:rsid w:val="79D479DA"/>
    <w:rsid w:val="79E64AB8"/>
    <w:rsid w:val="79F75693"/>
    <w:rsid w:val="7A0D5743"/>
    <w:rsid w:val="7A0D691C"/>
    <w:rsid w:val="7A0E7E3B"/>
    <w:rsid w:val="7A8A0B42"/>
    <w:rsid w:val="7ADB75EF"/>
    <w:rsid w:val="7B382BCF"/>
    <w:rsid w:val="7B3E7F43"/>
    <w:rsid w:val="7B5B32D0"/>
    <w:rsid w:val="7B646305"/>
    <w:rsid w:val="7B815585"/>
    <w:rsid w:val="7BC27D30"/>
    <w:rsid w:val="7BE20509"/>
    <w:rsid w:val="7C3C4388"/>
    <w:rsid w:val="7CCA305D"/>
    <w:rsid w:val="7CCD0B18"/>
    <w:rsid w:val="7D206644"/>
    <w:rsid w:val="7DB00FC4"/>
    <w:rsid w:val="7DF42316"/>
    <w:rsid w:val="7E156974"/>
    <w:rsid w:val="7E4C6A0D"/>
    <w:rsid w:val="7E9C7B69"/>
    <w:rsid w:val="7EC57D71"/>
    <w:rsid w:val="7ECD3B32"/>
    <w:rsid w:val="7F0A04A3"/>
    <w:rsid w:val="7F1D2BE5"/>
    <w:rsid w:val="7F6561BB"/>
    <w:rsid w:val="7FD46EA0"/>
    <w:rsid w:val="7FE9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89"/>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5">
    <w:name w:val="heading 2"/>
    <w:basedOn w:val="1"/>
    <w:next w:val="1"/>
    <w:link w:val="90"/>
    <w:qFormat/>
    <w:uiPriority w:val="0"/>
    <w:pPr>
      <w:keepNext/>
      <w:keepLines/>
      <w:adjustRightInd w:val="0"/>
      <w:snapToGrid w:val="0"/>
      <w:spacing w:line="360" w:lineRule="auto"/>
      <w:outlineLvl w:val="1"/>
    </w:pPr>
    <w:rPr>
      <w:rFonts w:ascii="宋体" w:hAnsi="宋体"/>
    </w:rPr>
  </w:style>
  <w:style w:type="paragraph" w:styleId="6">
    <w:name w:val="heading 3"/>
    <w:basedOn w:val="1"/>
    <w:next w:val="1"/>
    <w:link w:val="91"/>
    <w:qFormat/>
    <w:uiPriority w:val="0"/>
    <w:pPr>
      <w:autoSpaceDE w:val="0"/>
      <w:autoSpaceDN w:val="0"/>
      <w:adjustRightInd w:val="0"/>
      <w:spacing w:before="16"/>
      <w:jc w:val="left"/>
      <w:outlineLvl w:val="2"/>
    </w:pPr>
    <w:rPr>
      <w:rFonts w:ascii="仿宋_GB2312" w:eastAsia="仿宋_GB2312"/>
      <w:b/>
      <w:sz w:val="24"/>
      <w:szCs w:val="28"/>
    </w:rPr>
  </w:style>
  <w:style w:type="paragraph" w:styleId="7">
    <w:name w:val="heading 4"/>
    <w:basedOn w:val="1"/>
    <w:next w:val="1"/>
    <w:link w:val="76"/>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paragraph" w:styleId="8">
    <w:name w:val="heading 5"/>
    <w:basedOn w:val="1"/>
    <w:next w:val="1"/>
    <w:link w:val="92"/>
    <w:qFormat/>
    <w:uiPriority w:val="0"/>
    <w:pPr>
      <w:widowControl/>
      <w:spacing w:before="100" w:beforeAutospacing="1" w:after="100" w:afterAutospacing="1"/>
      <w:jc w:val="left"/>
      <w:outlineLvl w:val="4"/>
    </w:pPr>
    <w:rPr>
      <w:rFonts w:ascii="宋体" w:hAnsi="宋体" w:cs="宋体"/>
      <w:b/>
      <w:bCs/>
      <w:kern w:val="0"/>
      <w:sz w:val="20"/>
    </w:rPr>
  </w:style>
  <w:style w:type="paragraph" w:styleId="9">
    <w:name w:val="heading 6"/>
    <w:basedOn w:val="10"/>
    <w:next w:val="1"/>
    <w:link w:val="85"/>
    <w:qFormat/>
    <w:uiPriority w:val="0"/>
    <w:pPr>
      <w:keepNext/>
      <w:keepLines/>
      <w:ind w:firstLine="200" w:firstLineChars="200"/>
      <w:outlineLvl w:val="5"/>
    </w:pPr>
    <w:rPr>
      <w:rFonts w:hAnsi="Arial"/>
    </w:rPr>
  </w:style>
  <w:style w:type="paragraph" w:styleId="11">
    <w:name w:val="heading 7"/>
    <w:basedOn w:val="1"/>
    <w:next w:val="1"/>
    <w:link w:val="8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rPr>
  </w:style>
  <w:style w:type="paragraph" w:styleId="12">
    <w:name w:val="heading 8"/>
    <w:basedOn w:val="1"/>
    <w:next w:val="1"/>
    <w:link w:val="87"/>
    <w:qFormat/>
    <w:uiPriority w:val="0"/>
    <w:pPr>
      <w:adjustRightInd w:val="0"/>
      <w:spacing w:line="480" w:lineRule="atLeast"/>
      <w:ind w:left="2232" w:leftChars="450" w:hanging="882" w:hangingChars="294"/>
      <w:textAlignment w:val="baseline"/>
      <w:outlineLvl w:val="7"/>
    </w:pPr>
    <w:rPr>
      <w:rFonts w:hAnsi="Arial" w:eastAsia="仿宋_GB2312"/>
      <w:kern w:val="0"/>
      <w:sz w:val="30"/>
    </w:rPr>
  </w:style>
  <w:style w:type="paragraph" w:styleId="13">
    <w:name w:val="heading 9"/>
    <w:basedOn w:val="1"/>
    <w:next w:val="1"/>
    <w:link w:val="8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0"/>
    <w:rPr>
      <w:rFonts w:ascii="仿宋_GB2312" w:eastAsia="仿宋_GB2312"/>
      <w:sz w:val="32"/>
    </w:rPr>
  </w:style>
  <w:style w:type="paragraph" w:styleId="3">
    <w:name w:val="Body Text First Indent"/>
    <w:basedOn w:val="2"/>
    <w:next w:val="1"/>
    <w:link w:val="105"/>
    <w:qFormat/>
    <w:uiPriority w:val="0"/>
    <w:pPr>
      <w:spacing w:line="360" w:lineRule="auto"/>
      <w:ind w:firstLine="420"/>
    </w:pPr>
    <w:rPr>
      <w:rFonts w:ascii="宋体" w:hAnsi="宋体"/>
      <w:sz w:val="24"/>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rPr>
  </w:style>
  <w:style w:type="paragraph" w:styleId="16">
    <w:name w:val="Document Map"/>
    <w:basedOn w:val="1"/>
    <w:link w:val="93"/>
    <w:qFormat/>
    <w:uiPriority w:val="0"/>
    <w:pPr>
      <w:shd w:val="clear" w:color="auto" w:fill="000080"/>
    </w:pPr>
    <w:rPr>
      <w:sz w:val="21"/>
      <w:szCs w:val="24"/>
    </w:rPr>
  </w:style>
  <w:style w:type="paragraph" w:styleId="17">
    <w:name w:val="annotation text"/>
    <w:basedOn w:val="1"/>
    <w:link w:val="66"/>
    <w:qFormat/>
    <w:uiPriority w:val="99"/>
    <w:pPr>
      <w:jc w:val="left"/>
    </w:pPr>
  </w:style>
  <w:style w:type="paragraph" w:styleId="18">
    <w:name w:val="Body Text 3"/>
    <w:basedOn w:val="1"/>
    <w:link w:val="94"/>
    <w:qFormat/>
    <w:uiPriority w:val="0"/>
    <w:pPr>
      <w:spacing w:after="120"/>
    </w:pPr>
    <w:rPr>
      <w:sz w:val="16"/>
      <w:szCs w:val="16"/>
    </w:rPr>
  </w:style>
  <w:style w:type="paragraph" w:styleId="19">
    <w:name w:val="Body Text Indent"/>
    <w:basedOn w:val="1"/>
    <w:link w:val="95"/>
    <w:qFormat/>
    <w:uiPriority w:val="0"/>
    <w:pPr>
      <w:spacing w:line="700" w:lineRule="exact"/>
      <w:ind w:left="960"/>
    </w:pPr>
    <w:rPr>
      <w:sz w:val="44"/>
    </w:r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21">
    <w:name w:val="index 4"/>
    <w:basedOn w:val="1"/>
    <w:next w:val="1"/>
    <w:qFormat/>
    <w:uiPriority w:val="0"/>
    <w:pPr>
      <w:ind w:left="600" w:leftChars="600"/>
    </w:pPr>
    <w:rPr>
      <w:sz w:val="21"/>
      <w:szCs w:val="24"/>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840" w:leftChars="400"/>
    </w:pPr>
  </w:style>
  <w:style w:type="paragraph" w:styleId="24">
    <w:name w:val="Plain Text"/>
    <w:basedOn w:val="1"/>
    <w:link w:val="96"/>
    <w:qFormat/>
    <w:uiPriority w:val="0"/>
    <w:rPr>
      <w:rFonts w:ascii="宋体" w:hAnsi="Courier New" w:cs="Courier New"/>
      <w:sz w:val="21"/>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97"/>
    <w:qFormat/>
    <w:uiPriority w:val="0"/>
    <w:pPr>
      <w:ind w:left="100" w:leftChars="2500"/>
    </w:pPr>
    <w:rPr>
      <w:sz w:val="21"/>
      <w:szCs w:val="24"/>
    </w:rPr>
  </w:style>
  <w:style w:type="paragraph" w:styleId="27">
    <w:name w:val="Body Text Indent 2"/>
    <w:basedOn w:val="1"/>
    <w:link w:val="70"/>
    <w:qFormat/>
    <w:uiPriority w:val="0"/>
    <w:pPr>
      <w:spacing w:after="120" w:line="480" w:lineRule="auto"/>
      <w:ind w:left="420" w:leftChars="200"/>
    </w:pPr>
  </w:style>
  <w:style w:type="paragraph" w:styleId="28">
    <w:name w:val="endnote text"/>
    <w:basedOn w:val="1"/>
    <w:link w:val="98"/>
    <w:qFormat/>
    <w:uiPriority w:val="0"/>
    <w:pPr>
      <w:widowControl/>
      <w:snapToGrid w:val="0"/>
      <w:jc w:val="left"/>
    </w:pPr>
    <w:rPr>
      <w:rFonts w:ascii="Arial" w:hAnsi="Arial" w:cs="Arial"/>
      <w:kern w:val="0"/>
      <w:sz w:val="20"/>
      <w:szCs w:val="24"/>
      <w:lang w:eastAsia="en-US"/>
    </w:rPr>
  </w:style>
  <w:style w:type="paragraph" w:styleId="29">
    <w:name w:val="Balloon Text"/>
    <w:basedOn w:val="1"/>
    <w:link w:val="68"/>
    <w:qFormat/>
    <w:uiPriority w:val="0"/>
    <w:rPr>
      <w:sz w:val="18"/>
      <w:szCs w:val="18"/>
    </w:rPr>
  </w:style>
  <w:style w:type="paragraph" w:styleId="30">
    <w:name w:val="footer"/>
    <w:basedOn w:val="1"/>
    <w:link w:val="71"/>
    <w:qFormat/>
    <w:uiPriority w:val="0"/>
    <w:pPr>
      <w:tabs>
        <w:tab w:val="center" w:pos="4153"/>
        <w:tab w:val="right" w:pos="8306"/>
      </w:tabs>
      <w:snapToGrid w:val="0"/>
      <w:jc w:val="left"/>
    </w:pPr>
    <w:rPr>
      <w:sz w:val="18"/>
    </w:rPr>
  </w:style>
  <w:style w:type="paragraph" w:styleId="31">
    <w:name w:val="header"/>
    <w:basedOn w:val="1"/>
    <w:link w:val="72"/>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3">
    <w:name w:val="toc 4"/>
    <w:basedOn w:val="7"/>
    <w:next w:val="1"/>
    <w:qFormat/>
    <w:uiPriority w:val="39"/>
    <w:pPr>
      <w:keepNext w:val="0"/>
      <w:keepLines w:val="0"/>
      <w:spacing w:before="0" w:after="0" w:line="240" w:lineRule="auto"/>
      <w:ind w:left="630"/>
      <w:jc w:val="left"/>
      <w:outlineLvl w:val="9"/>
    </w:pPr>
    <w:rPr>
      <w:rFonts w:ascii="Times New Roman" w:hAnsi="Times New Roman" w:eastAsia="宋体" w:cs="Times New Roman"/>
      <w:b w:val="0"/>
      <w:bCs w:val="0"/>
      <w:sz w:val="18"/>
      <w:szCs w:val="18"/>
    </w:rPr>
  </w:style>
  <w:style w:type="paragraph" w:styleId="34">
    <w:name w:val="Subtitle"/>
    <w:basedOn w:val="1"/>
    <w:link w:val="99"/>
    <w:qFormat/>
    <w:uiPriority w:val="0"/>
    <w:pPr>
      <w:widowControl/>
      <w:jc w:val="center"/>
    </w:pPr>
    <w:rPr>
      <w:kern w:val="0"/>
      <w:sz w:val="20"/>
      <w:szCs w:val="24"/>
      <w:u w:val="single"/>
      <w:lang w:eastAsia="en-US"/>
    </w:rPr>
  </w:style>
  <w:style w:type="paragraph" w:styleId="35">
    <w:name w:val="footnote text"/>
    <w:basedOn w:val="1"/>
    <w:link w:val="100"/>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101"/>
    <w:qFormat/>
    <w:uiPriority w:val="0"/>
    <w:pPr>
      <w:spacing w:line="360" w:lineRule="auto"/>
      <w:ind w:firstLine="280" w:firstLineChars="100"/>
    </w:pPr>
    <w:rPr>
      <w:rFonts w:ascii="宋体" w:hAnsi="宋体"/>
      <w:szCs w:val="28"/>
    </w:rPr>
  </w:style>
  <w:style w:type="paragraph" w:styleId="38">
    <w:name w:val="toc 2"/>
    <w:basedOn w:val="1"/>
    <w:next w:val="1"/>
    <w:qFormat/>
    <w:uiPriority w:val="39"/>
    <w:pPr>
      <w:ind w:left="420" w:leftChars="200"/>
    </w:pPr>
  </w:style>
  <w:style w:type="paragraph" w:styleId="39">
    <w:name w:val="toc 9"/>
    <w:basedOn w:val="1"/>
    <w:next w:val="1"/>
    <w:qFormat/>
    <w:uiPriority w:val="39"/>
    <w:pPr>
      <w:ind w:left="1680"/>
      <w:jc w:val="left"/>
    </w:pPr>
    <w:rPr>
      <w:sz w:val="18"/>
      <w:szCs w:val="18"/>
    </w:rPr>
  </w:style>
  <w:style w:type="paragraph" w:styleId="40">
    <w:name w:val="Body Text 2"/>
    <w:basedOn w:val="1"/>
    <w:link w:val="102"/>
    <w:qFormat/>
    <w:uiPriority w:val="0"/>
    <w:rPr>
      <w:i/>
      <w:iCs/>
      <w:sz w:val="26"/>
      <w:szCs w:val="24"/>
    </w:rPr>
  </w:style>
  <w:style w:type="paragraph" w:styleId="41">
    <w:name w:val="HTML Preformatted"/>
    <w:basedOn w:val="1"/>
    <w:link w:val="10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2">
    <w:name w:val="Normal (Web)"/>
    <w:basedOn w:val="1"/>
    <w:qFormat/>
    <w:uiPriority w:val="0"/>
    <w:pPr>
      <w:spacing w:beforeAutospacing="1" w:afterAutospacing="1"/>
      <w:jc w:val="left"/>
    </w:pPr>
    <w:rPr>
      <w:rFonts w:eastAsia="方正仿宋_GBK"/>
      <w:kern w:val="0"/>
      <w:sz w:val="24"/>
    </w:rPr>
  </w:style>
  <w:style w:type="paragraph" w:styleId="43">
    <w:name w:val="index 1"/>
    <w:basedOn w:val="1"/>
    <w:next w:val="1"/>
    <w:qFormat/>
    <w:uiPriority w:val="0"/>
    <w:pPr>
      <w:spacing w:line="220" w:lineRule="exact"/>
      <w:jc w:val="center"/>
    </w:pPr>
    <w:rPr>
      <w:rFonts w:ascii="仿宋_GB2312" w:eastAsia="仿宋_GB2312"/>
      <w:sz w:val="21"/>
      <w:szCs w:val="21"/>
    </w:rPr>
  </w:style>
  <w:style w:type="paragraph" w:styleId="44">
    <w:name w:val="Title"/>
    <w:basedOn w:val="1"/>
    <w:link w:val="104"/>
    <w:qFormat/>
    <w:uiPriority w:val="0"/>
    <w:pPr>
      <w:widowControl/>
      <w:jc w:val="center"/>
    </w:pPr>
    <w:rPr>
      <w:kern w:val="0"/>
      <w:sz w:val="20"/>
      <w:szCs w:val="24"/>
      <w:u w:val="single"/>
      <w:lang w:eastAsia="en-US"/>
    </w:rPr>
  </w:style>
  <w:style w:type="paragraph" w:styleId="45">
    <w:name w:val="annotation subject"/>
    <w:basedOn w:val="17"/>
    <w:next w:val="17"/>
    <w:link w:val="67"/>
    <w:qFormat/>
    <w:uiPriority w:val="0"/>
    <w:rPr>
      <w:b/>
      <w:bCs/>
    </w:rPr>
  </w:style>
  <w:style w:type="paragraph" w:styleId="46">
    <w:name w:val="Body Text First Indent 2"/>
    <w:basedOn w:val="19"/>
    <w:qFormat/>
    <w:uiPriority w:val="0"/>
    <w:pPr>
      <w:spacing w:after="120" w:line="240" w:lineRule="auto"/>
      <w:ind w:left="420" w:leftChars="200" w:firstLine="420" w:firstLineChars="200"/>
    </w:pPr>
    <w:rPr>
      <w:sz w:val="21"/>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basedOn w:val="49"/>
    <w:unhideWhenUsed/>
    <w:qFormat/>
    <w:uiPriority w:val="99"/>
    <w:rPr>
      <w:color w:val="0563C1" w:themeColor="hyperlink"/>
      <w:u w:val="single"/>
      <w14:textFill>
        <w14:solidFill>
          <w14:schemeClr w14:val="hlink"/>
        </w14:solidFill>
      </w14:textFill>
    </w:rPr>
  </w:style>
  <w:style w:type="character" w:styleId="56">
    <w:name w:val="annotation reference"/>
    <w:basedOn w:val="49"/>
    <w:qFormat/>
    <w:uiPriority w:val="0"/>
    <w:rPr>
      <w:sz w:val="21"/>
      <w:szCs w:val="21"/>
    </w:rPr>
  </w:style>
  <w:style w:type="character" w:styleId="57">
    <w:name w:val="footnote reference"/>
    <w:qFormat/>
    <w:uiPriority w:val="0"/>
    <w:rPr>
      <w:vertAlign w:val="superscript"/>
    </w:rPr>
  </w:style>
  <w:style w:type="paragraph" w:customStyle="1" w:styleId="58">
    <w:name w:val="Heading3"/>
    <w:basedOn w:val="1"/>
    <w:next w:val="1"/>
    <w:qFormat/>
    <w:uiPriority w:val="0"/>
    <w:pPr>
      <w:spacing w:before="16"/>
      <w:jc w:val="left"/>
      <w:textAlignment w:val="baseline"/>
    </w:pPr>
    <w:rPr>
      <w:rFonts w:ascii="仿宋_GB2312" w:eastAsia="仿宋_GB2312"/>
      <w:b/>
      <w:sz w:val="24"/>
      <w:szCs w:val="28"/>
    </w:rPr>
  </w:style>
  <w:style w:type="paragraph" w:customStyle="1" w:styleId="59">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60">
    <w:name w:val="Body Text First Indent 21"/>
    <w:basedOn w:val="61"/>
    <w:qFormat/>
    <w:uiPriority w:val="0"/>
    <w:pPr>
      <w:tabs>
        <w:tab w:val="left" w:pos="0"/>
      </w:tabs>
      <w:spacing w:after="120" w:line="240" w:lineRule="auto"/>
      <w:ind w:left="420" w:firstLine="420"/>
    </w:pPr>
    <w:rPr>
      <w:rFonts w:ascii="Times New Roman"/>
      <w:szCs w:val="24"/>
    </w:rPr>
  </w:style>
  <w:style w:type="paragraph" w:customStyle="1" w:styleId="61">
    <w:name w:val="Body Text Indent1"/>
    <w:basedOn w:val="1"/>
    <w:qFormat/>
    <w:uiPriority w:val="0"/>
    <w:pPr>
      <w:widowControl/>
      <w:spacing w:line="360" w:lineRule="auto"/>
      <w:ind w:firstLine="540"/>
    </w:pPr>
    <w:rPr>
      <w:rFonts w:ascii="Century Gothic"/>
      <w:color w:val="000000"/>
    </w:rPr>
  </w:style>
  <w:style w:type="paragraph" w:customStyle="1" w:styleId="62">
    <w:name w:val="Default"/>
    <w:qFormat/>
    <w:uiPriority w:val="99"/>
    <w:pPr>
      <w:widowControl w:val="0"/>
      <w:autoSpaceDE w:val="0"/>
      <w:autoSpaceDN w:val="0"/>
      <w:adjustRightInd w:val="0"/>
    </w:pPr>
    <w:rPr>
      <w:rFonts w:ascii="P Ming Li U" w:hAnsi="Times New Roman" w:eastAsia="P Ming Li U" w:cs="P Ming Li U"/>
      <w:color w:val="000000"/>
      <w:sz w:val="24"/>
      <w:szCs w:val="24"/>
      <w:lang w:val="en-US" w:eastAsia="zh-CN" w:bidi="ar-SA"/>
    </w:rPr>
  </w:style>
  <w:style w:type="paragraph" w:customStyle="1" w:styleId="63">
    <w:name w:val="图例"/>
    <w:basedOn w:val="1"/>
    <w:qFormat/>
    <w:uiPriority w:val="0"/>
    <w:pPr>
      <w:spacing w:before="120" w:after="120" w:line="360" w:lineRule="auto"/>
      <w:jc w:val="center"/>
    </w:pPr>
    <w:rPr>
      <w:rFonts w:eastAsia="仿宋_GB2312"/>
      <w:b/>
      <w:sz w:val="24"/>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65">
    <w:name w:val="pa-34"/>
    <w:basedOn w:val="1"/>
    <w:qFormat/>
    <w:uiPriority w:val="0"/>
    <w:pPr>
      <w:widowControl/>
      <w:spacing w:line="360" w:lineRule="atLeast"/>
      <w:ind w:firstLine="420"/>
      <w:jc w:val="left"/>
    </w:pPr>
    <w:rPr>
      <w:rFonts w:ascii="宋体" w:hAnsi="宋体" w:cs="宋体"/>
      <w:kern w:val="0"/>
      <w:sz w:val="24"/>
    </w:rPr>
  </w:style>
  <w:style w:type="character" w:customStyle="1" w:styleId="66">
    <w:name w:val="批注文字 字符"/>
    <w:basedOn w:val="49"/>
    <w:link w:val="17"/>
    <w:qFormat/>
    <w:uiPriority w:val="99"/>
    <w:rPr>
      <w:rFonts w:ascii="Times New Roman" w:hAnsi="Times New Roman" w:eastAsia="宋体" w:cs="Times New Roman"/>
      <w:kern w:val="2"/>
      <w:sz w:val="28"/>
    </w:rPr>
  </w:style>
  <w:style w:type="character" w:customStyle="1" w:styleId="67">
    <w:name w:val="批注主题 字符"/>
    <w:basedOn w:val="66"/>
    <w:link w:val="45"/>
    <w:qFormat/>
    <w:uiPriority w:val="0"/>
    <w:rPr>
      <w:rFonts w:ascii="Times New Roman" w:hAnsi="Times New Roman" w:eastAsia="宋体" w:cs="Times New Roman"/>
      <w:b/>
      <w:bCs/>
      <w:kern w:val="2"/>
      <w:sz w:val="28"/>
    </w:rPr>
  </w:style>
  <w:style w:type="character" w:customStyle="1" w:styleId="68">
    <w:name w:val="批注框文本 字符"/>
    <w:basedOn w:val="49"/>
    <w:link w:val="29"/>
    <w:qFormat/>
    <w:uiPriority w:val="0"/>
    <w:rPr>
      <w:rFonts w:ascii="Times New Roman" w:hAnsi="Times New Roman" w:eastAsia="宋体" w:cs="Times New Roman"/>
      <w:kern w:val="2"/>
      <w:sz w:val="18"/>
      <w:szCs w:val="18"/>
    </w:rPr>
  </w:style>
  <w:style w:type="paragraph" w:styleId="69">
    <w:name w:val="List Paragraph"/>
    <w:basedOn w:val="1"/>
    <w:qFormat/>
    <w:uiPriority w:val="99"/>
    <w:pPr>
      <w:ind w:firstLine="420" w:firstLineChars="200"/>
    </w:pPr>
  </w:style>
  <w:style w:type="character" w:customStyle="1" w:styleId="70">
    <w:name w:val="正文文本缩进 2 字符"/>
    <w:basedOn w:val="49"/>
    <w:link w:val="27"/>
    <w:qFormat/>
    <w:uiPriority w:val="0"/>
    <w:rPr>
      <w:rFonts w:ascii="Times New Roman" w:hAnsi="Times New Roman" w:eastAsia="宋体" w:cs="Times New Roman"/>
      <w:kern w:val="2"/>
      <w:sz w:val="28"/>
    </w:rPr>
  </w:style>
  <w:style w:type="character" w:customStyle="1" w:styleId="71">
    <w:name w:val="页脚 字符"/>
    <w:basedOn w:val="49"/>
    <w:link w:val="30"/>
    <w:qFormat/>
    <w:uiPriority w:val="0"/>
    <w:rPr>
      <w:rFonts w:ascii="Times New Roman" w:hAnsi="Times New Roman" w:eastAsia="宋体" w:cs="Times New Roman"/>
      <w:kern w:val="2"/>
      <w:sz w:val="18"/>
    </w:rPr>
  </w:style>
  <w:style w:type="character" w:customStyle="1" w:styleId="72">
    <w:name w:val="页眉 字符"/>
    <w:basedOn w:val="49"/>
    <w:link w:val="31"/>
    <w:qFormat/>
    <w:uiPriority w:val="99"/>
    <w:rPr>
      <w:rFonts w:ascii="Times New Roman" w:hAnsi="Times New Roman" w:eastAsia="宋体" w:cs="Times New Roman"/>
      <w:kern w:val="2"/>
      <w:sz w:val="18"/>
    </w:rPr>
  </w:style>
  <w:style w:type="paragraph" w:customStyle="1" w:styleId="73">
    <w:name w:val="列出段落1"/>
    <w:basedOn w:val="1"/>
    <w:qFormat/>
    <w:uiPriority w:val="0"/>
    <w:pPr>
      <w:spacing w:line="400" w:lineRule="exact"/>
      <w:ind w:firstLine="420" w:firstLineChars="200"/>
    </w:pPr>
    <w:rPr>
      <w:szCs w:val="28"/>
    </w:rPr>
  </w:style>
  <w:style w:type="character" w:customStyle="1" w:styleId="74">
    <w:name w:val="正文文本 字符"/>
    <w:link w:val="2"/>
    <w:qFormat/>
    <w:uiPriority w:val="0"/>
    <w:rPr>
      <w:rFonts w:ascii="仿宋_GB2312" w:hAnsi="Times New Roman" w:eastAsia="仿宋_GB2312" w:cs="Times New Roman"/>
      <w:kern w:val="2"/>
      <w:sz w:val="32"/>
    </w:rPr>
  </w:style>
  <w:style w:type="paragraph" w:customStyle="1" w:styleId="75">
    <w:name w:val="修订1"/>
    <w:hidden/>
    <w:qFormat/>
    <w:uiPriority w:val="0"/>
    <w:rPr>
      <w:rFonts w:ascii="Times New Roman" w:hAnsi="Times New Roman" w:eastAsia="宋体" w:cs="Times New Roman"/>
      <w:kern w:val="2"/>
      <w:sz w:val="28"/>
      <w:lang w:val="en-US" w:eastAsia="zh-CN" w:bidi="ar-SA"/>
    </w:rPr>
  </w:style>
  <w:style w:type="character" w:customStyle="1" w:styleId="76">
    <w:name w:val="标题 4 字符"/>
    <w:basedOn w:val="49"/>
    <w:link w:val="7"/>
    <w:qFormat/>
    <w:uiPriority w:val="0"/>
    <w:rPr>
      <w:rFonts w:asciiTheme="majorHAnsi" w:hAnsiTheme="majorHAnsi" w:eastAsiaTheme="majorEastAsia" w:cstheme="majorBidi"/>
      <w:b/>
      <w:bCs/>
      <w:kern w:val="2"/>
      <w:sz w:val="28"/>
      <w:szCs w:val="28"/>
    </w:rPr>
  </w:style>
  <w:style w:type="character" w:customStyle="1" w:styleId="77">
    <w:name w:val="font51"/>
    <w:basedOn w:val="49"/>
    <w:qFormat/>
    <w:uiPriority w:val="0"/>
    <w:rPr>
      <w:rFonts w:hint="eastAsia" w:ascii="宋体" w:hAnsi="宋体" w:eastAsia="宋体" w:cs="宋体"/>
      <w:b/>
      <w:bCs/>
      <w:color w:val="000000"/>
      <w:sz w:val="32"/>
      <w:szCs w:val="32"/>
      <w:u w:val="none"/>
    </w:rPr>
  </w:style>
  <w:style w:type="character" w:customStyle="1" w:styleId="78">
    <w:name w:val="font71"/>
    <w:basedOn w:val="49"/>
    <w:qFormat/>
    <w:uiPriority w:val="0"/>
    <w:rPr>
      <w:rFonts w:hint="eastAsia" w:ascii="宋体" w:hAnsi="宋体" w:eastAsia="宋体" w:cs="宋体"/>
      <w:b/>
      <w:bCs/>
      <w:color w:val="000000"/>
      <w:sz w:val="21"/>
      <w:szCs w:val="21"/>
      <w:u w:val="none"/>
    </w:rPr>
  </w:style>
  <w:style w:type="character" w:customStyle="1" w:styleId="79">
    <w:name w:val="font61"/>
    <w:basedOn w:val="49"/>
    <w:qFormat/>
    <w:uiPriority w:val="0"/>
    <w:rPr>
      <w:rFonts w:hint="eastAsia" w:ascii="宋体" w:hAnsi="宋体" w:eastAsia="宋体" w:cs="宋体"/>
      <w:b/>
      <w:bCs/>
      <w:color w:val="000000"/>
      <w:sz w:val="19"/>
      <w:szCs w:val="19"/>
      <w:u w:val="none"/>
    </w:rPr>
  </w:style>
  <w:style w:type="character" w:customStyle="1" w:styleId="80">
    <w:name w:val="font21"/>
    <w:basedOn w:val="49"/>
    <w:qFormat/>
    <w:uiPriority w:val="0"/>
    <w:rPr>
      <w:rFonts w:hint="eastAsia" w:ascii="宋体" w:hAnsi="宋体" w:eastAsia="宋体" w:cs="宋体"/>
      <w:b/>
      <w:bCs/>
      <w:color w:val="000000"/>
      <w:sz w:val="32"/>
      <w:szCs w:val="32"/>
      <w:u w:val="none"/>
    </w:rPr>
  </w:style>
  <w:style w:type="character" w:customStyle="1" w:styleId="81">
    <w:name w:val="font11"/>
    <w:basedOn w:val="49"/>
    <w:qFormat/>
    <w:uiPriority w:val="0"/>
    <w:rPr>
      <w:rFonts w:hint="eastAsia" w:ascii="宋体" w:hAnsi="宋体" w:eastAsia="宋体" w:cs="宋体"/>
      <w:b/>
      <w:bCs/>
      <w:color w:val="000000"/>
      <w:sz w:val="21"/>
      <w:szCs w:val="21"/>
      <w:u w:val="none"/>
    </w:rPr>
  </w:style>
  <w:style w:type="table" w:customStyle="1" w:styleId="82">
    <w:name w:val="Table Normal"/>
    <w:unhideWhenUsed/>
    <w:qFormat/>
    <w:uiPriority w:val="0"/>
    <w:tblPr>
      <w:tblCellMar>
        <w:top w:w="0" w:type="dxa"/>
        <w:left w:w="0" w:type="dxa"/>
        <w:bottom w:w="0" w:type="dxa"/>
        <w:right w:w="0" w:type="dxa"/>
      </w:tblCellMar>
    </w:tblPr>
  </w:style>
  <w:style w:type="paragraph" w:customStyle="1" w:styleId="83">
    <w:name w:val="Table Paragraph"/>
    <w:basedOn w:val="1"/>
    <w:qFormat/>
    <w:uiPriority w:val="0"/>
  </w:style>
  <w:style w:type="paragraph" w:customStyle="1" w:styleId="84">
    <w:name w:val="修订2"/>
    <w:hidden/>
    <w:semiHidden/>
    <w:qFormat/>
    <w:uiPriority w:val="99"/>
    <w:rPr>
      <w:rFonts w:ascii="Times New Roman" w:hAnsi="Times New Roman" w:eastAsia="宋体" w:cs="Times New Roman"/>
      <w:kern w:val="2"/>
      <w:sz w:val="28"/>
      <w:lang w:val="en-US" w:eastAsia="zh-CN" w:bidi="ar-SA"/>
    </w:rPr>
  </w:style>
  <w:style w:type="character" w:customStyle="1" w:styleId="85">
    <w:name w:val="标题 6 字符"/>
    <w:basedOn w:val="49"/>
    <w:link w:val="9"/>
    <w:qFormat/>
    <w:uiPriority w:val="0"/>
    <w:rPr>
      <w:rFonts w:hAnsi="Arial" w:eastAsia="仿宋_GB2312"/>
      <w:sz w:val="30"/>
    </w:rPr>
  </w:style>
  <w:style w:type="character" w:customStyle="1" w:styleId="86">
    <w:name w:val="标题 7 字符"/>
    <w:basedOn w:val="49"/>
    <w:link w:val="11"/>
    <w:qFormat/>
    <w:uiPriority w:val="0"/>
    <w:rPr>
      <w:rFonts w:eastAsia="仿宋_GB2312"/>
      <w:sz w:val="30"/>
    </w:rPr>
  </w:style>
  <w:style w:type="character" w:customStyle="1" w:styleId="87">
    <w:name w:val="标题 8 字符"/>
    <w:basedOn w:val="49"/>
    <w:link w:val="12"/>
    <w:qFormat/>
    <w:uiPriority w:val="0"/>
    <w:rPr>
      <w:rFonts w:hAnsi="Arial" w:eastAsia="仿宋_GB2312"/>
      <w:sz w:val="30"/>
    </w:rPr>
  </w:style>
  <w:style w:type="character" w:customStyle="1" w:styleId="88">
    <w:name w:val="标题 9 字符"/>
    <w:basedOn w:val="49"/>
    <w:link w:val="13"/>
    <w:qFormat/>
    <w:uiPriority w:val="0"/>
    <w:rPr>
      <w:rFonts w:eastAsia="仿宋_GB2312"/>
      <w:sz w:val="30"/>
    </w:rPr>
  </w:style>
  <w:style w:type="character" w:customStyle="1" w:styleId="89">
    <w:name w:val="标题 1 字符"/>
    <w:link w:val="4"/>
    <w:qFormat/>
    <w:uiPriority w:val="0"/>
    <w:rPr>
      <w:rFonts w:eastAsia="黑体"/>
      <w:kern w:val="2"/>
      <w:sz w:val="44"/>
    </w:rPr>
  </w:style>
  <w:style w:type="character" w:customStyle="1" w:styleId="90">
    <w:name w:val="标题 2 字符"/>
    <w:link w:val="5"/>
    <w:qFormat/>
    <w:uiPriority w:val="0"/>
    <w:rPr>
      <w:rFonts w:ascii="宋体" w:hAnsi="宋体"/>
      <w:kern w:val="2"/>
      <w:sz w:val="28"/>
    </w:rPr>
  </w:style>
  <w:style w:type="character" w:customStyle="1" w:styleId="91">
    <w:name w:val="标题 3 字符"/>
    <w:link w:val="6"/>
    <w:qFormat/>
    <w:uiPriority w:val="0"/>
    <w:rPr>
      <w:rFonts w:ascii="仿宋_GB2312" w:eastAsia="仿宋_GB2312"/>
      <w:b/>
      <w:kern w:val="2"/>
      <w:sz w:val="24"/>
      <w:szCs w:val="28"/>
    </w:rPr>
  </w:style>
  <w:style w:type="character" w:customStyle="1" w:styleId="92">
    <w:name w:val="标题 5 字符"/>
    <w:link w:val="8"/>
    <w:qFormat/>
    <w:uiPriority w:val="0"/>
    <w:rPr>
      <w:rFonts w:ascii="宋体" w:hAnsi="宋体" w:cs="宋体"/>
      <w:b/>
      <w:bCs/>
    </w:rPr>
  </w:style>
  <w:style w:type="character" w:customStyle="1" w:styleId="93">
    <w:name w:val="文档结构图 字符"/>
    <w:basedOn w:val="49"/>
    <w:link w:val="16"/>
    <w:qFormat/>
    <w:uiPriority w:val="0"/>
    <w:rPr>
      <w:kern w:val="2"/>
      <w:sz w:val="21"/>
      <w:szCs w:val="24"/>
      <w:shd w:val="clear" w:color="auto" w:fill="000080"/>
    </w:rPr>
  </w:style>
  <w:style w:type="character" w:customStyle="1" w:styleId="94">
    <w:name w:val="正文文本 3 字符"/>
    <w:basedOn w:val="49"/>
    <w:link w:val="18"/>
    <w:qFormat/>
    <w:uiPriority w:val="0"/>
    <w:rPr>
      <w:kern w:val="2"/>
      <w:sz w:val="16"/>
      <w:szCs w:val="16"/>
    </w:rPr>
  </w:style>
  <w:style w:type="character" w:customStyle="1" w:styleId="95">
    <w:name w:val="正文文本缩进 字符"/>
    <w:link w:val="19"/>
    <w:qFormat/>
    <w:uiPriority w:val="0"/>
    <w:rPr>
      <w:kern w:val="2"/>
      <w:sz w:val="44"/>
    </w:rPr>
  </w:style>
  <w:style w:type="character" w:customStyle="1" w:styleId="96">
    <w:name w:val="纯文本 字符"/>
    <w:basedOn w:val="49"/>
    <w:link w:val="24"/>
    <w:qFormat/>
    <w:uiPriority w:val="0"/>
    <w:rPr>
      <w:rFonts w:ascii="宋体" w:hAnsi="Courier New" w:cs="Courier New"/>
      <w:kern w:val="2"/>
      <w:sz w:val="21"/>
      <w:szCs w:val="21"/>
    </w:rPr>
  </w:style>
  <w:style w:type="character" w:customStyle="1" w:styleId="97">
    <w:name w:val="日期 字符"/>
    <w:basedOn w:val="49"/>
    <w:link w:val="26"/>
    <w:qFormat/>
    <w:uiPriority w:val="0"/>
    <w:rPr>
      <w:kern w:val="2"/>
      <w:sz w:val="21"/>
      <w:szCs w:val="24"/>
    </w:rPr>
  </w:style>
  <w:style w:type="character" w:customStyle="1" w:styleId="98">
    <w:name w:val="尾注文本 字符"/>
    <w:basedOn w:val="49"/>
    <w:link w:val="28"/>
    <w:qFormat/>
    <w:uiPriority w:val="0"/>
    <w:rPr>
      <w:rFonts w:ascii="Arial" w:hAnsi="Arial" w:cs="Arial"/>
      <w:szCs w:val="24"/>
      <w:lang w:eastAsia="en-US"/>
    </w:rPr>
  </w:style>
  <w:style w:type="character" w:customStyle="1" w:styleId="99">
    <w:name w:val="副标题 字符"/>
    <w:basedOn w:val="49"/>
    <w:link w:val="34"/>
    <w:qFormat/>
    <w:uiPriority w:val="0"/>
    <w:rPr>
      <w:szCs w:val="24"/>
      <w:u w:val="single"/>
      <w:lang w:eastAsia="en-US"/>
    </w:rPr>
  </w:style>
  <w:style w:type="character" w:customStyle="1" w:styleId="100">
    <w:name w:val="脚注文本 字符"/>
    <w:link w:val="35"/>
    <w:qFormat/>
    <w:uiPriority w:val="0"/>
    <w:rPr>
      <w:rFonts w:ascii="Arial" w:hAnsi="Arial" w:cs="Arial"/>
      <w:sz w:val="18"/>
      <w:szCs w:val="18"/>
      <w:lang w:eastAsia="en-US"/>
    </w:rPr>
  </w:style>
  <w:style w:type="character" w:customStyle="1" w:styleId="101">
    <w:name w:val="正文文本缩进 3 字符"/>
    <w:basedOn w:val="49"/>
    <w:link w:val="37"/>
    <w:qFormat/>
    <w:uiPriority w:val="0"/>
    <w:rPr>
      <w:rFonts w:ascii="宋体" w:hAnsi="宋体"/>
      <w:kern w:val="2"/>
      <w:sz w:val="28"/>
      <w:szCs w:val="28"/>
    </w:rPr>
  </w:style>
  <w:style w:type="character" w:customStyle="1" w:styleId="102">
    <w:name w:val="正文文本 2 字符"/>
    <w:basedOn w:val="49"/>
    <w:link w:val="40"/>
    <w:qFormat/>
    <w:uiPriority w:val="0"/>
    <w:rPr>
      <w:i/>
      <w:iCs/>
      <w:kern w:val="2"/>
      <w:sz w:val="26"/>
      <w:szCs w:val="24"/>
    </w:rPr>
  </w:style>
  <w:style w:type="character" w:customStyle="1" w:styleId="103">
    <w:name w:val="HTML 预设格式 字符"/>
    <w:basedOn w:val="49"/>
    <w:link w:val="41"/>
    <w:qFormat/>
    <w:uiPriority w:val="0"/>
    <w:rPr>
      <w:rFonts w:ascii="宋体" w:hAnsi="宋体" w:cs="宋体"/>
      <w:color w:val="000000"/>
      <w:sz w:val="24"/>
      <w:szCs w:val="24"/>
    </w:rPr>
  </w:style>
  <w:style w:type="character" w:customStyle="1" w:styleId="104">
    <w:name w:val="标题 字符"/>
    <w:basedOn w:val="49"/>
    <w:link w:val="44"/>
    <w:qFormat/>
    <w:uiPriority w:val="0"/>
    <w:rPr>
      <w:szCs w:val="24"/>
      <w:u w:val="single"/>
      <w:lang w:eastAsia="en-US"/>
    </w:rPr>
  </w:style>
  <w:style w:type="character" w:customStyle="1" w:styleId="105">
    <w:name w:val="正文首行缩进 字符"/>
    <w:basedOn w:val="74"/>
    <w:link w:val="3"/>
    <w:qFormat/>
    <w:uiPriority w:val="0"/>
    <w:rPr>
      <w:rFonts w:ascii="宋体" w:hAnsi="宋体" w:eastAsia="仿宋_GB2312" w:cs="Times New Roman"/>
      <w:kern w:val="2"/>
      <w:sz w:val="24"/>
    </w:rPr>
  </w:style>
  <w:style w:type="paragraph" w:customStyle="1" w:styleId="106">
    <w:name w:val="_Style 56"/>
    <w:basedOn w:val="4"/>
    <w:next w:val="1"/>
    <w:qFormat/>
    <w:uiPriority w:val="39"/>
    <w:pPr>
      <w:keepLines/>
      <w:widowControl/>
      <w:tabs>
        <w:tab w:val="clear" w:pos="3360"/>
      </w:tabs>
      <w:snapToGrid/>
      <w:spacing w:before="480" w:beforeLines="0" w:after="0" w:afterLines="0" w:line="276" w:lineRule="auto"/>
      <w:jc w:val="left"/>
      <w:outlineLvl w:val="9"/>
    </w:pPr>
    <w:rPr>
      <w:rFonts w:ascii="Cambria" w:hAnsi="Cambria" w:eastAsia="宋体"/>
      <w:b/>
      <w:bCs/>
      <w:color w:val="365F91"/>
      <w:kern w:val="0"/>
      <w:sz w:val="28"/>
      <w:szCs w:val="28"/>
    </w:rPr>
  </w:style>
  <w:style w:type="paragraph" w:customStyle="1" w:styleId="107">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108">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0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10">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111">
    <w:name w:val="1 Char"/>
    <w:basedOn w:val="1"/>
    <w:qFormat/>
    <w:uiPriority w:val="0"/>
    <w:pPr>
      <w:widowControl/>
      <w:spacing w:after="160" w:line="240" w:lineRule="exact"/>
      <w:jc w:val="left"/>
    </w:pPr>
    <w:rPr>
      <w:rFonts w:ascii="Calibri" w:hAnsi="Calibri"/>
      <w:sz w:val="21"/>
    </w:rPr>
  </w:style>
  <w:style w:type="paragraph" w:customStyle="1" w:styleId="112">
    <w:name w:val="列表段落1"/>
    <w:basedOn w:val="1"/>
    <w:qFormat/>
    <w:uiPriority w:val="34"/>
    <w:pPr>
      <w:ind w:firstLine="420" w:firstLineChars="200"/>
    </w:pPr>
    <w:rPr>
      <w:rFonts w:ascii="Calibri" w:hAnsi="Calibri"/>
      <w:sz w:val="21"/>
      <w:szCs w:val="24"/>
    </w:rPr>
  </w:style>
  <w:style w:type="paragraph" w:customStyle="1" w:styleId="113">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14">
    <w:name w:val="样式 标题 3 + (中文) 黑体 小四 非加粗 段前: 7.8 磅 段后: 0 磅 行距: 固定值 20 磅"/>
    <w:basedOn w:val="6"/>
    <w:next w:val="1"/>
    <w:qFormat/>
    <w:uiPriority w:val="0"/>
    <w:pPr>
      <w:keepNext/>
      <w:keepLines/>
      <w:autoSpaceDE/>
      <w:autoSpaceDN/>
      <w:adjustRightInd/>
      <w:spacing w:before="0" w:line="400" w:lineRule="exact"/>
      <w:jc w:val="both"/>
    </w:pPr>
    <w:rPr>
      <w:rFonts w:ascii="Times New Roman" w:eastAsia="黑体" w:cs="宋体"/>
      <w:b w:val="0"/>
      <w:szCs w:val="20"/>
    </w:rPr>
  </w:style>
  <w:style w:type="paragraph" w:customStyle="1" w:styleId="115">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6">
    <w:name w:val="TOC 标题2"/>
    <w:basedOn w:val="4"/>
    <w:next w:val="1"/>
    <w:unhideWhenUsed/>
    <w:qFormat/>
    <w:uiPriority w:val="0"/>
    <w:pPr>
      <w:keepLines/>
      <w:tabs>
        <w:tab w:val="clear" w:pos="3360"/>
      </w:tabs>
      <w:snapToGrid/>
      <w:spacing w:before="340" w:beforeLines="0" w:after="330" w:afterLines="0" w:line="578" w:lineRule="auto"/>
      <w:jc w:val="both"/>
      <w:outlineLvl w:val="9"/>
    </w:pPr>
    <w:rPr>
      <w:rFonts w:ascii="Calibri" w:hAnsi="Calibri" w:eastAsia="宋体"/>
      <w:b/>
      <w:bCs/>
      <w:kern w:val="44"/>
      <w:szCs w:val="44"/>
    </w:rPr>
  </w:style>
  <w:style w:type="paragraph" w:customStyle="1" w:styleId="117">
    <w:name w:val="样式1"/>
    <w:basedOn w:val="1"/>
    <w:next w:val="7"/>
    <w:qFormat/>
    <w:uiPriority w:val="0"/>
    <w:pPr>
      <w:spacing w:line="360" w:lineRule="auto"/>
      <w:ind w:firstLine="420" w:firstLineChars="200"/>
    </w:pPr>
    <w:rPr>
      <w:rFonts w:ascii="宋体" w:hAnsi="宋体"/>
      <w:sz w:val="21"/>
      <w:szCs w:val="21"/>
    </w:rPr>
  </w:style>
  <w:style w:type="paragraph" w:customStyle="1" w:styleId="118">
    <w:name w:val="列出段落111"/>
    <w:basedOn w:val="1"/>
    <w:qFormat/>
    <w:uiPriority w:val="0"/>
    <w:pPr>
      <w:ind w:firstLine="420" w:firstLineChars="200"/>
    </w:pPr>
    <w:rPr>
      <w:szCs w:val="28"/>
    </w:rPr>
  </w:style>
  <w:style w:type="paragraph" w:customStyle="1" w:styleId="119">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20">
    <w:name w:val="pa-27"/>
    <w:basedOn w:val="1"/>
    <w:qFormat/>
    <w:uiPriority w:val="0"/>
    <w:pPr>
      <w:widowControl/>
      <w:spacing w:line="360" w:lineRule="atLeast"/>
      <w:ind w:firstLine="420"/>
    </w:pPr>
    <w:rPr>
      <w:rFonts w:ascii="宋体" w:hAnsi="宋体" w:cs="宋体"/>
      <w:kern w:val="0"/>
      <w:sz w:val="24"/>
      <w:szCs w:val="24"/>
    </w:rPr>
  </w:style>
  <w:style w:type="paragraph" w:customStyle="1" w:styleId="121">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_Style 72"/>
    <w:qFormat/>
    <w:uiPriority w:val="0"/>
    <w:rPr>
      <w:rFonts w:ascii="Times New Roman" w:hAnsi="Times New Roman" w:eastAsia="宋体" w:cs="Times New Roman"/>
      <w:kern w:val="2"/>
      <w:sz w:val="21"/>
      <w:szCs w:val="24"/>
      <w:lang w:val="en-US" w:eastAsia="zh-CN" w:bidi="ar-SA"/>
    </w:rPr>
  </w:style>
  <w:style w:type="paragraph" w:customStyle="1" w:styleId="123">
    <w:name w:val="Char Char1 Char Char Char Char Char Char Char Char Char Char"/>
    <w:basedOn w:val="1"/>
    <w:qFormat/>
    <w:uiPriority w:val="0"/>
    <w:pPr>
      <w:autoSpaceDE w:val="0"/>
      <w:autoSpaceDN w:val="0"/>
      <w:adjustRightInd w:val="0"/>
      <w:ind w:firstLine="482"/>
    </w:pPr>
    <w:rPr>
      <w:rFonts w:ascii="Calibri" w:hAnsi="Calibri"/>
      <w:sz w:val="21"/>
    </w:rPr>
  </w:style>
  <w:style w:type="paragraph" w:customStyle="1" w:styleId="124">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25">
    <w:name w:val="Char Char Char Char"/>
    <w:basedOn w:val="16"/>
    <w:qFormat/>
    <w:uiPriority w:val="0"/>
    <w:pPr>
      <w:spacing w:line="360" w:lineRule="auto"/>
      <w:ind w:firstLine="200" w:firstLineChars="200"/>
    </w:pPr>
    <w:rPr>
      <w:rFonts w:ascii="Tahoma" w:hAnsi="Tahoma"/>
      <w:sz w:val="24"/>
    </w:rPr>
  </w:style>
  <w:style w:type="paragraph" w:customStyle="1" w:styleId="126">
    <w:name w:val="表格内容"/>
    <w:basedOn w:val="1"/>
    <w:qFormat/>
    <w:uiPriority w:val="0"/>
    <w:pPr>
      <w:suppressLineNumbers/>
      <w:suppressAutoHyphens/>
    </w:pPr>
    <w:rPr>
      <w:sz w:val="21"/>
      <w:szCs w:val="24"/>
    </w:rPr>
  </w:style>
  <w:style w:type="paragraph" w:customStyle="1" w:styleId="12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8">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29">
    <w:name w:val="_Style 105"/>
    <w:basedOn w:val="4"/>
    <w:next w:val="1"/>
    <w:qFormat/>
    <w:uiPriority w:val="39"/>
    <w:pPr>
      <w:keepLines/>
      <w:widowControl/>
      <w:tabs>
        <w:tab w:val="clear" w:pos="3360"/>
      </w:tabs>
      <w:snapToGrid/>
      <w:spacing w:before="480" w:beforeLines="0" w:after="0" w:afterLines="0" w:line="276" w:lineRule="auto"/>
      <w:jc w:val="left"/>
      <w:outlineLvl w:val="9"/>
    </w:pPr>
    <w:rPr>
      <w:rFonts w:ascii="Cambria" w:hAnsi="Cambria" w:eastAsia="宋体"/>
      <w:b/>
      <w:bCs/>
      <w:color w:val="365F91"/>
      <w:kern w:val="0"/>
      <w:sz w:val="28"/>
      <w:szCs w:val="28"/>
    </w:rPr>
  </w:style>
  <w:style w:type="paragraph" w:customStyle="1" w:styleId="130">
    <w:name w:val="明显引用1"/>
    <w:basedOn w:val="1"/>
    <w:next w:val="1"/>
    <w:link w:val="131"/>
    <w:qFormat/>
    <w:uiPriority w:val="0"/>
    <w:pPr>
      <w:pBdr>
        <w:bottom w:val="single" w:color="4F81BD" w:sz="4" w:space="4"/>
      </w:pBdr>
      <w:spacing w:before="200" w:after="280"/>
      <w:ind w:left="936" w:right="936"/>
    </w:pPr>
    <w:rPr>
      <w:b/>
      <w:bCs/>
      <w:i/>
      <w:iCs/>
      <w:color w:val="4F81BD"/>
      <w:sz w:val="21"/>
      <w:szCs w:val="22"/>
    </w:rPr>
  </w:style>
  <w:style w:type="character" w:customStyle="1" w:styleId="131">
    <w:name w:val="明显引用 字符"/>
    <w:link w:val="130"/>
    <w:qFormat/>
    <w:uiPriority w:val="0"/>
    <w:rPr>
      <w:b/>
      <w:bCs/>
      <w:i/>
      <w:iCs/>
      <w:color w:val="4F81BD"/>
      <w:kern w:val="2"/>
      <w:sz w:val="21"/>
      <w:szCs w:val="22"/>
    </w:rPr>
  </w:style>
  <w:style w:type="paragraph" w:customStyle="1" w:styleId="132">
    <w:name w:val="表体"/>
    <w:basedOn w:val="1"/>
    <w:next w:val="1"/>
    <w:qFormat/>
    <w:uiPriority w:val="0"/>
    <w:pPr>
      <w:spacing w:line="0" w:lineRule="atLeast"/>
    </w:pPr>
    <w:rPr>
      <w:rFonts w:ascii="Calibri" w:hAnsi="Calibri"/>
      <w:b/>
      <w:snapToGrid w:val="0"/>
      <w:sz w:val="21"/>
    </w:rPr>
  </w:style>
  <w:style w:type="paragraph" w:customStyle="1" w:styleId="133">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1"/>
    <w:basedOn w:val="1"/>
    <w:qFormat/>
    <w:uiPriority w:val="0"/>
    <w:pPr>
      <w:widowControl/>
      <w:spacing w:before="100" w:beforeAutospacing="1" w:after="100" w:afterAutospacing="1"/>
      <w:jc w:val="left"/>
    </w:pPr>
    <w:rPr>
      <w:rFonts w:ascii="ˎ̥" w:hAnsi="ˎ̥" w:cs="宋体"/>
      <w:kern w:val="0"/>
      <w:sz w:val="24"/>
      <w:szCs w:val="24"/>
    </w:rPr>
  </w:style>
  <w:style w:type="paragraph" w:customStyle="1" w:styleId="135">
    <w:name w:val="p16"/>
    <w:basedOn w:val="1"/>
    <w:qFormat/>
    <w:uiPriority w:val="0"/>
    <w:pPr>
      <w:widowControl/>
    </w:pPr>
    <w:rPr>
      <w:rFonts w:ascii="Calibri" w:hAnsi="Calibri" w:cs="宋体"/>
      <w:kern w:val="0"/>
      <w:sz w:val="21"/>
      <w:szCs w:val="21"/>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 w:val="21"/>
    </w:rPr>
  </w:style>
  <w:style w:type="paragraph" w:customStyle="1" w:styleId="13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标题4"/>
    <w:basedOn w:val="5"/>
    <w:next w:val="21"/>
    <w:link w:val="140"/>
    <w:qFormat/>
    <w:uiPriority w:val="0"/>
    <w:pPr>
      <w:adjustRightInd/>
      <w:snapToGrid/>
      <w:spacing w:before="260" w:after="260" w:line="413" w:lineRule="auto"/>
    </w:pPr>
    <w:rPr>
      <w:rFonts w:ascii="Arial" w:hAnsi="Arial"/>
      <w:b/>
      <w:bCs/>
      <w:kern w:val="0"/>
      <w:sz w:val="24"/>
      <w:szCs w:val="32"/>
    </w:rPr>
  </w:style>
  <w:style w:type="character" w:customStyle="1" w:styleId="140">
    <w:name w:val="标题4 Char Char"/>
    <w:link w:val="139"/>
    <w:qFormat/>
    <w:uiPriority w:val="0"/>
    <w:rPr>
      <w:rFonts w:ascii="Arial" w:hAnsi="Arial"/>
      <w:b/>
      <w:bCs/>
      <w:sz w:val="24"/>
      <w:szCs w:val="32"/>
    </w:rPr>
  </w:style>
  <w:style w:type="paragraph" w:customStyle="1" w:styleId="141">
    <w:name w:val="Char Char"/>
    <w:basedOn w:val="1"/>
    <w:qFormat/>
    <w:uiPriority w:val="0"/>
    <w:pPr>
      <w:widowControl/>
      <w:jc w:val="left"/>
    </w:pPr>
    <w:rPr>
      <w:rFonts w:ascii="Verdana" w:hAnsi="Verdana" w:eastAsia="Times New Roman"/>
      <w:kern w:val="0"/>
      <w:sz w:val="16"/>
      <w:lang w:eastAsia="en-US"/>
    </w:rPr>
  </w:style>
  <w:style w:type="paragraph" w:customStyle="1" w:styleId="14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44">
    <w:name w:val="WW-表格内容"/>
    <w:basedOn w:val="1"/>
    <w:qFormat/>
    <w:uiPriority w:val="0"/>
    <w:pPr>
      <w:suppressLineNumbers/>
      <w:suppressAutoHyphens/>
    </w:pPr>
    <w:rPr>
      <w:sz w:val="21"/>
      <w:szCs w:val="24"/>
    </w:rPr>
  </w:style>
  <w:style w:type="paragraph" w:customStyle="1" w:styleId="145">
    <w:name w:val="Char"/>
    <w:basedOn w:val="1"/>
    <w:qFormat/>
    <w:uiPriority w:val="0"/>
    <w:rPr>
      <w:sz w:val="21"/>
      <w:szCs w:val="24"/>
    </w:rPr>
  </w:style>
  <w:style w:type="paragraph" w:customStyle="1" w:styleId="14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 w:val="21"/>
      <w:szCs w:val="22"/>
    </w:rPr>
  </w:style>
  <w:style w:type="paragraph" w:customStyle="1" w:styleId="147">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样式15"/>
    <w:basedOn w:val="6"/>
    <w:qFormat/>
    <w:uiPriority w:val="0"/>
    <w:pPr>
      <w:tabs>
        <w:tab w:val="left" w:pos="0"/>
        <w:tab w:val="left" w:pos="210"/>
        <w:tab w:val="left" w:pos="420"/>
        <w:tab w:val="left" w:pos="1260"/>
      </w:tabs>
      <w:autoSpaceDE/>
      <w:autoSpaceDN/>
      <w:spacing w:before="0"/>
    </w:pPr>
    <w:rPr>
      <w:rFonts w:hAnsi="Calibri"/>
      <w:sz w:val="32"/>
      <w:szCs w:val="24"/>
    </w:rPr>
  </w:style>
  <w:style w:type="paragraph" w:customStyle="1" w:styleId="149">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150">
    <w:name w:val="Char9 Char Char Char Char Char Char"/>
    <w:basedOn w:val="16"/>
    <w:qFormat/>
    <w:uiPriority w:val="0"/>
    <w:pPr>
      <w:spacing w:line="360" w:lineRule="auto"/>
      <w:ind w:firstLine="200" w:firstLineChars="200"/>
    </w:pPr>
    <w:rPr>
      <w:rFonts w:ascii="Tahoma" w:hAnsi="Tahoma"/>
      <w:sz w:val="24"/>
    </w:rPr>
  </w:style>
  <w:style w:type="paragraph" w:customStyle="1" w:styleId="151">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52">
    <w:name w:val="p15"/>
    <w:basedOn w:val="1"/>
    <w:qFormat/>
    <w:uiPriority w:val="0"/>
    <w:pPr>
      <w:widowControl/>
      <w:spacing w:after="120"/>
    </w:pPr>
    <w:rPr>
      <w:kern w:val="0"/>
      <w:sz w:val="21"/>
      <w:szCs w:val="21"/>
    </w:rPr>
  </w:style>
  <w:style w:type="paragraph" w:customStyle="1" w:styleId="153">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154">
    <w:name w:val="正  文"/>
    <w:basedOn w:val="1"/>
    <w:qFormat/>
    <w:uiPriority w:val="0"/>
    <w:pPr>
      <w:spacing w:line="360" w:lineRule="auto"/>
      <w:ind w:firstLine="200" w:firstLineChars="200"/>
    </w:pPr>
    <w:rPr>
      <w:rFonts w:ascii="宋体" w:hAnsi="Calibri"/>
      <w:sz w:val="24"/>
      <w:szCs w:val="24"/>
    </w:rPr>
  </w:style>
  <w:style w:type="paragraph" w:customStyle="1" w:styleId="155">
    <w:name w:val="列出段落11"/>
    <w:basedOn w:val="1"/>
    <w:qFormat/>
    <w:uiPriority w:val="0"/>
    <w:pPr>
      <w:ind w:firstLine="420" w:firstLineChars="200"/>
    </w:pPr>
    <w:rPr>
      <w:szCs w:val="28"/>
    </w:rPr>
  </w:style>
  <w:style w:type="paragraph" w:customStyle="1" w:styleId="15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7">
    <w:name w:val="样式 标题 1 + 黑体 三号 非加粗 居中 段前: 6 磅 段后: 6 磅 行距: 固定值 20 磅"/>
    <w:basedOn w:val="4"/>
    <w:qFormat/>
    <w:uiPriority w:val="0"/>
    <w:pPr>
      <w:keepLines/>
      <w:tabs>
        <w:tab w:val="clear" w:pos="3360"/>
      </w:tabs>
      <w:snapToGrid/>
      <w:spacing w:before="120" w:beforeLines="0" w:after="120" w:afterLines="0" w:line="400" w:lineRule="exact"/>
    </w:pPr>
    <w:rPr>
      <w:rFonts w:ascii="黑体" w:hAnsi="黑体" w:cs="宋体"/>
      <w:kern w:val="44"/>
      <w:sz w:val="32"/>
    </w:rPr>
  </w:style>
  <w:style w:type="paragraph" w:customStyle="1" w:styleId="158">
    <w:name w:val="_Style 96"/>
    <w:semiHidden/>
    <w:qFormat/>
    <w:uiPriority w:val="99"/>
    <w:rPr>
      <w:rFonts w:ascii="Calibri" w:hAnsi="Calibri" w:eastAsia="宋体" w:cs="Times New Roman"/>
      <w:kern w:val="2"/>
      <w:sz w:val="21"/>
      <w:szCs w:val="24"/>
      <w:lang w:val="en-US" w:eastAsia="zh-CN" w:bidi="ar-SA"/>
    </w:rPr>
  </w:style>
  <w:style w:type="paragraph" w:customStyle="1" w:styleId="159">
    <w:name w:val="表格文字"/>
    <w:basedOn w:val="1"/>
    <w:qFormat/>
    <w:uiPriority w:val="0"/>
    <w:pPr>
      <w:adjustRightInd w:val="0"/>
      <w:spacing w:line="420" w:lineRule="atLeast"/>
      <w:jc w:val="left"/>
      <w:textAlignment w:val="baseline"/>
    </w:pPr>
    <w:rPr>
      <w:kern w:val="0"/>
      <w:sz w:val="21"/>
    </w:rPr>
  </w:style>
  <w:style w:type="paragraph" w:customStyle="1" w:styleId="160">
    <w:name w:val="表格"/>
    <w:basedOn w:val="1"/>
    <w:qFormat/>
    <w:uiPriority w:val="0"/>
    <w:pPr>
      <w:jc w:val="center"/>
      <w:textAlignment w:val="center"/>
    </w:pPr>
    <w:rPr>
      <w:rFonts w:ascii="华文细黑" w:hAnsi="华文细黑"/>
      <w:kern w:val="0"/>
      <w:sz w:val="21"/>
    </w:rPr>
  </w:style>
  <w:style w:type="paragraph" w:customStyle="1" w:styleId="161">
    <w:name w:val="Char1"/>
    <w:basedOn w:val="1"/>
    <w:qFormat/>
    <w:uiPriority w:val="0"/>
    <w:rPr>
      <w:sz w:val="21"/>
      <w:szCs w:val="24"/>
    </w:rPr>
  </w:style>
  <w:style w:type="paragraph" w:customStyle="1" w:styleId="162">
    <w:name w:val="TOC 标题11"/>
    <w:basedOn w:val="4"/>
    <w:next w:val="1"/>
    <w:qFormat/>
    <w:uiPriority w:val="0"/>
    <w:pPr>
      <w:keepLines/>
      <w:widowControl/>
      <w:tabs>
        <w:tab w:val="clear" w:pos="3360"/>
      </w:tabs>
      <w:snapToGrid/>
      <w:spacing w:before="480" w:beforeLines="0" w:after="0" w:afterLines="0" w:line="276" w:lineRule="auto"/>
      <w:jc w:val="left"/>
      <w:outlineLvl w:val="9"/>
    </w:pPr>
    <w:rPr>
      <w:rFonts w:ascii="Cambria" w:hAnsi="Cambria" w:eastAsia="宋体"/>
      <w:b/>
      <w:bCs/>
      <w:color w:val="365F91"/>
      <w:kern w:val="0"/>
      <w:sz w:val="28"/>
      <w:szCs w:val="28"/>
    </w:rPr>
  </w:style>
  <w:style w:type="paragraph" w:customStyle="1" w:styleId="163">
    <w:name w:val="引用2"/>
    <w:basedOn w:val="1"/>
    <w:next w:val="1"/>
    <w:link w:val="164"/>
    <w:qFormat/>
    <w:uiPriority w:val="0"/>
    <w:rPr>
      <w:i/>
      <w:iCs/>
      <w:color w:val="000000"/>
      <w:sz w:val="21"/>
      <w:szCs w:val="24"/>
    </w:rPr>
  </w:style>
  <w:style w:type="character" w:customStyle="1" w:styleId="164">
    <w:name w:val="引用 Char"/>
    <w:link w:val="163"/>
    <w:qFormat/>
    <w:uiPriority w:val="0"/>
    <w:rPr>
      <w:i/>
      <w:iCs/>
      <w:color w:val="000000"/>
      <w:kern w:val="2"/>
      <w:sz w:val="21"/>
      <w:szCs w:val="24"/>
    </w:rPr>
  </w:style>
  <w:style w:type="paragraph" w:customStyle="1" w:styleId="16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66">
    <w:name w:val="引用1"/>
    <w:basedOn w:val="1"/>
    <w:next w:val="1"/>
    <w:link w:val="167"/>
    <w:qFormat/>
    <w:uiPriority w:val="0"/>
    <w:rPr>
      <w:i/>
      <w:iCs/>
      <w:color w:val="000000"/>
      <w:sz w:val="21"/>
      <w:szCs w:val="22"/>
    </w:rPr>
  </w:style>
  <w:style w:type="character" w:customStyle="1" w:styleId="167">
    <w:name w:val="引用 字符"/>
    <w:link w:val="166"/>
    <w:qFormat/>
    <w:uiPriority w:val="0"/>
    <w:rPr>
      <w:i/>
      <w:iCs/>
      <w:color w:val="000000"/>
      <w:kern w:val="2"/>
      <w:sz w:val="21"/>
      <w:szCs w:val="22"/>
    </w:rPr>
  </w:style>
  <w:style w:type="paragraph" w:customStyle="1" w:styleId="168">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169">
    <w:name w:val="Char2"/>
    <w:basedOn w:val="1"/>
    <w:qFormat/>
    <w:uiPriority w:val="0"/>
    <w:rPr>
      <w:rFonts w:ascii="Calibri" w:hAnsi="Calibri"/>
      <w:sz w:val="21"/>
      <w:szCs w:val="24"/>
    </w:rPr>
  </w:style>
  <w:style w:type="paragraph" w:customStyle="1" w:styleId="170">
    <w:name w:val="标题5"/>
    <w:basedOn w:val="6"/>
    <w:link w:val="171"/>
    <w:qFormat/>
    <w:uiPriority w:val="0"/>
    <w:pPr>
      <w:keepNext/>
      <w:keepLines/>
      <w:autoSpaceDE/>
      <w:autoSpaceDN/>
      <w:adjustRightInd/>
      <w:spacing w:before="260" w:after="260" w:line="413" w:lineRule="auto"/>
      <w:jc w:val="both"/>
    </w:pPr>
    <w:rPr>
      <w:rFonts w:ascii="Arial" w:hAnsi="Arial" w:eastAsia="宋体"/>
      <w:bCs/>
      <w:kern w:val="0"/>
      <w:szCs w:val="32"/>
    </w:rPr>
  </w:style>
  <w:style w:type="character" w:customStyle="1" w:styleId="171">
    <w:name w:val="标题5 Char Char"/>
    <w:link w:val="170"/>
    <w:qFormat/>
    <w:uiPriority w:val="0"/>
    <w:rPr>
      <w:rFonts w:ascii="Arial" w:hAnsi="Arial"/>
      <w:b/>
      <w:bCs/>
      <w:sz w:val="24"/>
      <w:szCs w:val="32"/>
    </w:rPr>
  </w:style>
  <w:style w:type="paragraph" w:customStyle="1" w:styleId="172">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TOC 标题1"/>
    <w:basedOn w:val="4"/>
    <w:next w:val="1"/>
    <w:qFormat/>
    <w:uiPriority w:val="0"/>
    <w:pPr>
      <w:keepLines/>
      <w:widowControl/>
      <w:tabs>
        <w:tab w:val="clear" w:pos="3360"/>
      </w:tabs>
      <w:snapToGrid/>
      <w:spacing w:before="480" w:beforeLines="0" w:after="0" w:afterLines="0" w:line="276" w:lineRule="auto"/>
      <w:jc w:val="left"/>
      <w:outlineLvl w:val="9"/>
    </w:pPr>
    <w:rPr>
      <w:rFonts w:ascii="Cambria" w:hAnsi="Cambria" w:eastAsia="宋体"/>
      <w:b/>
      <w:bCs/>
      <w:color w:val="365F91"/>
      <w:kern w:val="0"/>
      <w:sz w:val="28"/>
      <w:szCs w:val="28"/>
    </w:rPr>
  </w:style>
  <w:style w:type="paragraph" w:customStyle="1" w:styleId="174">
    <w:name w:val="表格标题"/>
    <w:basedOn w:val="126"/>
    <w:qFormat/>
    <w:uiPriority w:val="0"/>
  </w:style>
  <w:style w:type="paragraph" w:customStyle="1" w:styleId="17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7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77">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WW-表格标题"/>
    <w:basedOn w:val="144"/>
    <w:qFormat/>
    <w:uiPriority w:val="0"/>
  </w:style>
  <w:style w:type="paragraph" w:customStyle="1" w:styleId="181">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182">
    <w:name w:val="明显引用12"/>
    <w:basedOn w:val="1"/>
    <w:next w:val="1"/>
    <w:link w:val="183"/>
    <w:qFormat/>
    <w:uiPriority w:val="30"/>
    <w:pPr>
      <w:pBdr>
        <w:bottom w:val="single" w:color="4F81BD" w:sz="4" w:space="4"/>
      </w:pBdr>
      <w:spacing w:before="200" w:after="280"/>
      <w:ind w:left="936" w:right="936"/>
    </w:pPr>
    <w:rPr>
      <w:b/>
      <w:bCs/>
      <w:i/>
      <w:iCs/>
      <w:color w:val="4F81BD"/>
      <w:sz w:val="21"/>
    </w:rPr>
  </w:style>
  <w:style w:type="character" w:customStyle="1" w:styleId="183">
    <w:name w:val="明显引用 Char1"/>
    <w:link w:val="182"/>
    <w:qFormat/>
    <w:uiPriority w:val="30"/>
    <w:rPr>
      <w:b/>
      <w:bCs/>
      <w:i/>
      <w:iCs/>
      <w:color w:val="4F81BD"/>
      <w:kern w:val="2"/>
      <w:sz w:val="21"/>
    </w:rPr>
  </w:style>
  <w:style w:type="paragraph" w:customStyle="1" w:styleId="184">
    <w:name w:val="标准样式1"/>
    <w:basedOn w:val="1"/>
    <w:qFormat/>
    <w:uiPriority w:val="0"/>
    <w:pPr>
      <w:spacing w:line="600" w:lineRule="exact"/>
      <w:ind w:firstLine="567"/>
    </w:pPr>
    <w:rPr>
      <w:rFonts w:ascii="Calibri" w:hAnsi="Calibri"/>
      <w:szCs w:val="24"/>
    </w:rPr>
  </w:style>
  <w:style w:type="paragraph" w:customStyle="1" w:styleId="185">
    <w:name w:val="Char3"/>
    <w:basedOn w:val="1"/>
    <w:qFormat/>
    <w:uiPriority w:val="0"/>
    <w:rPr>
      <w:sz w:val="21"/>
      <w:szCs w:val="24"/>
    </w:rPr>
  </w:style>
  <w:style w:type="paragraph" w:customStyle="1" w:styleId="186">
    <w:name w:val="p17"/>
    <w:basedOn w:val="1"/>
    <w:qFormat/>
    <w:uiPriority w:val="0"/>
    <w:pPr>
      <w:widowControl/>
      <w:spacing w:before="120" w:after="120"/>
      <w:jc w:val="left"/>
    </w:pPr>
    <w:rPr>
      <w:rFonts w:ascii="Calibri" w:hAnsi="Calibri" w:cs="宋体"/>
      <w:b/>
      <w:bCs/>
      <w:caps/>
      <w:kern w:val="0"/>
      <w:szCs w:val="28"/>
    </w:rPr>
  </w:style>
  <w:style w:type="paragraph" w:customStyle="1" w:styleId="187">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88">
    <w:name w:val="引用11"/>
    <w:basedOn w:val="1"/>
    <w:next w:val="1"/>
    <w:link w:val="189"/>
    <w:qFormat/>
    <w:uiPriority w:val="29"/>
    <w:rPr>
      <w:i/>
      <w:iCs/>
      <w:color w:val="000000"/>
      <w:sz w:val="21"/>
    </w:rPr>
  </w:style>
  <w:style w:type="character" w:customStyle="1" w:styleId="189">
    <w:name w:val="引用 Char1"/>
    <w:link w:val="188"/>
    <w:qFormat/>
    <w:uiPriority w:val="29"/>
    <w:rPr>
      <w:i/>
      <w:iCs/>
      <w:color w:val="000000"/>
      <w:kern w:val="2"/>
      <w:sz w:val="21"/>
    </w:rPr>
  </w:style>
  <w:style w:type="paragraph" w:customStyle="1" w:styleId="190">
    <w:name w:val="_Style 87"/>
    <w:basedOn w:val="1"/>
    <w:qFormat/>
    <w:uiPriority w:val="99"/>
    <w:pPr>
      <w:ind w:firstLine="420" w:firstLineChars="200"/>
    </w:pPr>
    <w:rPr>
      <w:rFonts w:ascii="Calibri" w:hAnsi="Calibri"/>
      <w:szCs w:val="28"/>
    </w:rPr>
  </w:style>
  <w:style w:type="paragraph" w:customStyle="1" w:styleId="191">
    <w:name w:val="自定样式1"/>
    <w:basedOn w:val="1"/>
    <w:qFormat/>
    <w:uiPriority w:val="0"/>
    <w:pPr>
      <w:suppressAutoHyphens/>
      <w:jc w:val="center"/>
    </w:pPr>
    <w:rPr>
      <w:rFonts w:ascii="宋体" w:hAnsi="宋体"/>
      <w:color w:val="000000"/>
      <w:sz w:val="18"/>
      <w:szCs w:val="24"/>
    </w:rPr>
  </w:style>
  <w:style w:type="paragraph" w:customStyle="1" w:styleId="19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3">
    <w:name w:val="样式 标题 2 + Times New Roman 四号 非加粗 段前: 5 磅 段后: 0 磅 行距: 固定值 20..."/>
    <w:basedOn w:val="5"/>
    <w:qFormat/>
    <w:uiPriority w:val="0"/>
    <w:pPr>
      <w:adjustRightInd/>
      <w:snapToGrid/>
      <w:spacing w:before="100" w:line="400" w:lineRule="exact"/>
    </w:pPr>
    <w:rPr>
      <w:rFonts w:ascii="Times New Roman" w:hAnsi="Times New Roman" w:eastAsia="黑体" w:cs="宋体"/>
    </w:rPr>
  </w:style>
  <w:style w:type="character" w:customStyle="1" w:styleId="194">
    <w:name w:val="未处理的提及1"/>
    <w:unhideWhenUsed/>
    <w:qFormat/>
    <w:uiPriority w:val="99"/>
    <w:rPr>
      <w:color w:val="808080"/>
      <w:shd w:val="clear" w:color="auto" w:fill="E6E6E6"/>
    </w:rPr>
  </w:style>
  <w:style w:type="character" w:customStyle="1" w:styleId="195">
    <w:name w:val="正文文本 3 Char"/>
    <w:qFormat/>
    <w:uiPriority w:val="0"/>
    <w:rPr>
      <w:kern w:val="2"/>
      <w:sz w:val="16"/>
      <w:szCs w:val="16"/>
    </w:rPr>
  </w:style>
  <w:style w:type="character" w:customStyle="1" w:styleId="196">
    <w:name w:val="正文文本缩进 Char2"/>
    <w:semiHidden/>
    <w:qFormat/>
    <w:uiPriority w:val="99"/>
    <w:rPr>
      <w:rFonts w:ascii="Calibri" w:hAnsi="Calibri" w:eastAsia="宋体" w:cs="Times New Roman"/>
      <w:szCs w:val="24"/>
    </w:rPr>
  </w:style>
  <w:style w:type="character" w:customStyle="1" w:styleId="197">
    <w:name w:val="标题 3 Char"/>
    <w:qFormat/>
    <w:uiPriority w:val="0"/>
    <w:rPr>
      <w:rFonts w:ascii="仿宋_GB2312" w:hAnsi="Calibri" w:eastAsia="仿宋_GB2312" w:cs="Times New Roman"/>
      <w:b/>
      <w:kern w:val="0"/>
      <w:sz w:val="24"/>
      <w:szCs w:val="28"/>
    </w:rPr>
  </w:style>
  <w:style w:type="character" w:customStyle="1" w:styleId="198">
    <w:name w:val="批注框文本 Char2"/>
    <w:qFormat/>
    <w:uiPriority w:val="99"/>
    <w:rPr>
      <w:kern w:val="2"/>
      <w:sz w:val="18"/>
      <w:szCs w:val="18"/>
    </w:rPr>
  </w:style>
  <w:style w:type="character" w:customStyle="1" w:styleId="199">
    <w:name w:val="textcontents"/>
    <w:qFormat/>
    <w:uiPriority w:val="0"/>
    <w:rPr>
      <w:rFonts w:cs="Times New Roman"/>
    </w:rPr>
  </w:style>
  <w:style w:type="character" w:customStyle="1" w:styleId="200">
    <w:name w:val="ht1"/>
    <w:qFormat/>
    <w:uiPriority w:val="0"/>
    <w:rPr>
      <w:rFonts w:ascii="黑体" w:eastAsia="黑体"/>
      <w:b/>
      <w:bCs/>
    </w:rPr>
  </w:style>
  <w:style w:type="character" w:customStyle="1" w:styleId="201">
    <w:name w:val="标题 Char"/>
    <w:qFormat/>
    <w:uiPriority w:val="0"/>
    <w:rPr>
      <w:rFonts w:ascii="Cambria" w:hAnsi="Cambria" w:eastAsia="宋体" w:cs="Times New Roman"/>
      <w:b/>
      <w:bCs/>
      <w:kern w:val="2"/>
      <w:sz w:val="32"/>
      <w:szCs w:val="32"/>
    </w:rPr>
  </w:style>
  <w:style w:type="character" w:customStyle="1" w:styleId="202">
    <w:name w:val="14t1"/>
    <w:qFormat/>
    <w:uiPriority w:val="0"/>
    <w:rPr>
      <w:rFonts w:hint="eastAsia" w:ascii="宋体" w:hAnsi="宋体" w:eastAsia="宋体"/>
      <w:sz w:val="11"/>
      <w:szCs w:val="11"/>
    </w:rPr>
  </w:style>
  <w:style w:type="character" w:customStyle="1" w:styleId="203">
    <w:name w:val="Char Char36"/>
    <w:qFormat/>
    <w:uiPriority w:val="0"/>
    <w:rPr>
      <w:rFonts w:ascii="仿宋_GB2312" w:eastAsia="仿宋_GB2312" w:cs="MingLiU"/>
      <w:b/>
      <w:sz w:val="24"/>
      <w:szCs w:val="28"/>
    </w:rPr>
  </w:style>
  <w:style w:type="character" w:customStyle="1" w:styleId="204">
    <w:name w:val="文档结构图 Char"/>
    <w:qFormat/>
    <w:uiPriority w:val="0"/>
    <w:rPr>
      <w:rFonts w:ascii="宋体"/>
      <w:kern w:val="2"/>
      <w:sz w:val="18"/>
      <w:szCs w:val="18"/>
    </w:rPr>
  </w:style>
  <w:style w:type="character" w:customStyle="1" w:styleId="205">
    <w:name w:val="普通文字 Char Char2"/>
    <w:qFormat/>
    <w:uiPriority w:val="0"/>
    <w:rPr>
      <w:rFonts w:ascii="宋体" w:hAnsi="Courier New"/>
      <w:kern w:val="2"/>
      <w:sz w:val="28"/>
      <w:szCs w:val="28"/>
    </w:rPr>
  </w:style>
  <w:style w:type="character" w:customStyle="1" w:styleId="206">
    <w:name w:val="HTML 预设格式 Char"/>
    <w:qFormat/>
    <w:uiPriority w:val="0"/>
    <w:rPr>
      <w:rFonts w:ascii="宋体" w:hAnsi="宋体" w:eastAsia="宋体" w:cs="宋体"/>
      <w:color w:val="000000"/>
      <w:sz w:val="24"/>
      <w:szCs w:val="24"/>
    </w:rPr>
  </w:style>
  <w:style w:type="character" w:customStyle="1" w:styleId="207">
    <w:name w:val="纯文本 Char"/>
    <w:qFormat/>
    <w:uiPriority w:val="0"/>
    <w:rPr>
      <w:rFonts w:ascii="宋体" w:hAnsi="Courier New"/>
      <w:sz w:val="28"/>
      <w:szCs w:val="28"/>
    </w:rPr>
  </w:style>
  <w:style w:type="character" w:customStyle="1" w:styleId="208">
    <w:name w:val="批注框文本 Char"/>
    <w:qFormat/>
    <w:uiPriority w:val="0"/>
    <w:rPr>
      <w:sz w:val="18"/>
      <w:szCs w:val="18"/>
    </w:rPr>
  </w:style>
  <w:style w:type="character" w:customStyle="1" w:styleId="209">
    <w:name w:val="页脚 Char"/>
    <w:qFormat/>
    <w:uiPriority w:val="0"/>
    <w:rPr>
      <w:sz w:val="18"/>
      <w:szCs w:val="18"/>
    </w:rPr>
  </w:style>
  <w:style w:type="character" w:customStyle="1" w:styleId="210">
    <w:name w:val="正文文本缩进 3 Char"/>
    <w:qFormat/>
    <w:uiPriority w:val="0"/>
    <w:rPr>
      <w:kern w:val="2"/>
      <w:sz w:val="16"/>
      <w:szCs w:val="16"/>
    </w:rPr>
  </w:style>
  <w:style w:type="character" w:customStyle="1" w:styleId="211">
    <w:name w:val="标题 8 Char"/>
    <w:qFormat/>
    <w:uiPriority w:val="0"/>
    <w:rPr>
      <w:rFonts w:ascii="Arial" w:hAnsi="Arial" w:eastAsia="黑体" w:cs="Times New Roman"/>
      <w:sz w:val="24"/>
      <w:szCs w:val="24"/>
    </w:rPr>
  </w:style>
  <w:style w:type="character" w:customStyle="1" w:styleId="212">
    <w:name w:val="正文文本缩进 2 Char1"/>
    <w:qFormat/>
    <w:uiPriority w:val="0"/>
    <w:rPr>
      <w:sz w:val="28"/>
      <w:szCs w:val="24"/>
    </w:rPr>
  </w:style>
  <w:style w:type="character" w:customStyle="1" w:styleId="213">
    <w:name w:val="标题 5 Char1"/>
    <w:qFormat/>
    <w:uiPriority w:val="0"/>
    <w:rPr>
      <w:rFonts w:ascii="宋体" w:hAnsi="宋体" w:eastAsia="宋体" w:cs="宋体"/>
      <w:b/>
      <w:bCs/>
      <w:sz w:val="20"/>
      <w:szCs w:val="20"/>
    </w:rPr>
  </w:style>
  <w:style w:type="character" w:customStyle="1" w:styleId="214">
    <w:name w:val="批注文字 Char"/>
    <w:qFormat/>
    <w:uiPriority w:val="0"/>
    <w:rPr>
      <w:rFonts w:ascii="Times New Roman" w:hAnsi="Times New Roman" w:eastAsia="宋体" w:cs="Times New Roman"/>
      <w:kern w:val="2"/>
      <w:sz w:val="21"/>
      <w:szCs w:val="24"/>
    </w:rPr>
  </w:style>
  <w:style w:type="character" w:customStyle="1" w:styleId="215">
    <w:name w:val="style121"/>
    <w:qFormat/>
    <w:uiPriority w:val="0"/>
    <w:rPr>
      <w:rFonts w:hint="eastAsia" w:ascii="宋体" w:hAnsi="宋体" w:eastAsia="宋体"/>
      <w:sz w:val="18"/>
      <w:szCs w:val="18"/>
    </w:rPr>
  </w:style>
  <w:style w:type="character" w:customStyle="1" w:styleId="216">
    <w:name w:val="Section Char"/>
    <w:qFormat/>
    <w:uiPriority w:val="0"/>
    <w:rPr>
      <w:rFonts w:ascii="仿宋_GB2312" w:eastAsia="仿宋_GB2312" w:cs="MingLiU"/>
      <w:b/>
      <w:sz w:val="24"/>
      <w:szCs w:val="28"/>
      <w:lang w:val="en-US" w:eastAsia="zh-CN" w:bidi="ar-SA"/>
    </w:rPr>
  </w:style>
  <w:style w:type="character" w:customStyle="1" w:styleId="217">
    <w:name w:val="正文文本 3 Char1"/>
    <w:qFormat/>
    <w:uiPriority w:val="0"/>
    <w:rPr>
      <w:kern w:val="2"/>
      <w:sz w:val="16"/>
      <w:szCs w:val="16"/>
    </w:rPr>
  </w:style>
  <w:style w:type="character" w:customStyle="1" w:styleId="218">
    <w:name w:val="文档结构图 Char1"/>
    <w:qFormat/>
    <w:uiPriority w:val="0"/>
    <w:rPr>
      <w:rFonts w:ascii="宋体"/>
      <w:kern w:val="2"/>
      <w:sz w:val="18"/>
      <w:szCs w:val="18"/>
    </w:rPr>
  </w:style>
  <w:style w:type="character" w:customStyle="1" w:styleId="219">
    <w:name w:val="_Style 170"/>
    <w:qFormat/>
    <w:uiPriority w:val="0"/>
    <w:rPr>
      <w:i/>
      <w:iCs/>
      <w:color w:val="808080"/>
    </w:rPr>
  </w:style>
  <w:style w:type="character" w:customStyle="1" w:styleId="220">
    <w:name w:val="_Style 171"/>
    <w:qFormat/>
    <w:uiPriority w:val="0"/>
    <w:rPr>
      <w:b/>
      <w:bCs/>
      <w:smallCaps/>
      <w:color w:val="C0504D"/>
      <w:spacing w:val="5"/>
      <w:u w:val="single"/>
    </w:rPr>
  </w:style>
  <w:style w:type="character" w:customStyle="1" w:styleId="221">
    <w:name w:val="标题 9 Char"/>
    <w:qFormat/>
    <w:uiPriority w:val="0"/>
    <w:rPr>
      <w:rFonts w:ascii="Arial" w:hAnsi="Arial" w:eastAsia="黑体" w:cs="Times New Roman"/>
      <w:szCs w:val="21"/>
    </w:rPr>
  </w:style>
  <w:style w:type="character" w:customStyle="1" w:styleId="222">
    <w:name w:val="页眉 Char1"/>
    <w:semiHidden/>
    <w:qFormat/>
    <w:uiPriority w:val="99"/>
    <w:rPr>
      <w:kern w:val="2"/>
      <w:sz w:val="18"/>
      <w:szCs w:val="18"/>
    </w:rPr>
  </w:style>
  <w:style w:type="character" w:customStyle="1" w:styleId="223">
    <w:name w:val="_Style 174"/>
    <w:qFormat/>
    <w:uiPriority w:val="0"/>
    <w:rPr>
      <w:b/>
      <w:bCs/>
      <w:i/>
      <w:iCs/>
      <w:color w:val="4F81BD"/>
    </w:rPr>
  </w:style>
  <w:style w:type="character" w:customStyle="1" w:styleId="224">
    <w:name w:val="Char Char35"/>
    <w:qFormat/>
    <w:uiPriority w:val="0"/>
    <w:rPr>
      <w:rFonts w:ascii="仿宋_GB2312" w:eastAsia="仿宋_GB2312" w:cs="MingLiU"/>
      <w:b/>
      <w:sz w:val="24"/>
      <w:szCs w:val="28"/>
    </w:rPr>
  </w:style>
  <w:style w:type="character" w:customStyle="1" w:styleId="225">
    <w:name w:val="日期 Char2"/>
    <w:qFormat/>
    <w:uiPriority w:val="99"/>
    <w:rPr>
      <w:kern w:val="2"/>
      <w:sz w:val="21"/>
      <w:szCs w:val="24"/>
    </w:rPr>
  </w:style>
  <w:style w:type="character" w:customStyle="1" w:styleId="226">
    <w:name w:val="Char Char22"/>
    <w:qFormat/>
    <w:uiPriority w:val="0"/>
    <w:rPr>
      <w:b/>
      <w:bCs/>
      <w:kern w:val="2"/>
      <w:sz w:val="32"/>
      <w:szCs w:val="32"/>
    </w:rPr>
  </w:style>
  <w:style w:type="character" w:customStyle="1" w:styleId="227">
    <w:name w:val="正文文本缩进 2 Char2"/>
    <w:semiHidden/>
    <w:qFormat/>
    <w:uiPriority w:val="99"/>
    <w:rPr>
      <w:rFonts w:ascii="Calibri" w:hAnsi="Calibri" w:eastAsia="宋体" w:cs="Times New Roman"/>
      <w:szCs w:val="24"/>
    </w:rPr>
  </w:style>
  <w:style w:type="character" w:customStyle="1" w:styleId="228">
    <w:name w:val="明显强调1"/>
    <w:qFormat/>
    <w:uiPriority w:val="0"/>
    <w:rPr>
      <w:b/>
      <w:bCs/>
      <w:i/>
      <w:iCs/>
      <w:color w:val="4F81BD"/>
    </w:rPr>
  </w:style>
  <w:style w:type="character" w:customStyle="1" w:styleId="229">
    <w:name w:val="Char Char14"/>
    <w:qFormat/>
    <w:uiPriority w:val="0"/>
    <w:rPr>
      <w:kern w:val="2"/>
      <w:sz w:val="18"/>
      <w:szCs w:val="18"/>
    </w:rPr>
  </w:style>
  <w:style w:type="character" w:customStyle="1" w:styleId="230">
    <w:name w:val="s3"/>
    <w:qFormat/>
    <w:uiPriority w:val="0"/>
  </w:style>
  <w:style w:type="character" w:customStyle="1" w:styleId="231">
    <w:name w:val="标题 1 Char"/>
    <w:qFormat/>
    <w:uiPriority w:val="0"/>
    <w:rPr>
      <w:rFonts w:ascii="Times New Roman" w:hAnsi="Times New Roman" w:eastAsia="宋体" w:cs="Times New Roman"/>
      <w:b/>
      <w:bCs/>
      <w:kern w:val="44"/>
      <w:sz w:val="44"/>
      <w:szCs w:val="44"/>
    </w:rPr>
  </w:style>
  <w:style w:type="character" w:customStyle="1" w:styleId="232">
    <w:name w:val="日期 Char3"/>
    <w:semiHidden/>
    <w:qFormat/>
    <w:uiPriority w:val="99"/>
    <w:rPr>
      <w:rFonts w:ascii="Calibri" w:hAnsi="Calibri" w:eastAsia="宋体" w:cs="Times New Roman"/>
      <w:szCs w:val="24"/>
    </w:rPr>
  </w:style>
  <w:style w:type="character" w:customStyle="1" w:styleId="233">
    <w:name w:val="title11"/>
    <w:qFormat/>
    <w:uiPriority w:val="0"/>
    <w:rPr>
      <w:b/>
      <w:bCs/>
      <w:color w:val="FFFFFF"/>
      <w:sz w:val="11"/>
      <w:szCs w:val="11"/>
    </w:rPr>
  </w:style>
  <w:style w:type="character" w:customStyle="1" w:styleId="234">
    <w:name w:val="明显引用 Char2"/>
    <w:qFormat/>
    <w:uiPriority w:val="99"/>
    <w:rPr>
      <w:b/>
      <w:bCs/>
      <w:i/>
      <w:iCs/>
      <w:color w:val="4F81BD"/>
      <w:kern w:val="2"/>
      <w:sz w:val="21"/>
      <w:szCs w:val="24"/>
    </w:rPr>
  </w:style>
  <w:style w:type="character" w:customStyle="1" w:styleId="235">
    <w:name w:val="批注框文本 Char3"/>
    <w:semiHidden/>
    <w:qFormat/>
    <w:uiPriority w:val="99"/>
    <w:rPr>
      <w:rFonts w:ascii="Calibri" w:hAnsi="Calibri" w:eastAsia="宋体" w:cs="Times New Roman"/>
      <w:sz w:val="18"/>
      <w:szCs w:val="18"/>
    </w:rPr>
  </w:style>
  <w:style w:type="character" w:customStyle="1" w:styleId="236">
    <w:name w:val="Char Char33"/>
    <w:qFormat/>
    <w:uiPriority w:val="0"/>
    <w:rPr>
      <w:rFonts w:ascii="仿宋_GB2312" w:eastAsia="仿宋_GB2312" w:cs="MingLiU"/>
      <w:b/>
      <w:sz w:val="24"/>
      <w:szCs w:val="28"/>
    </w:rPr>
  </w:style>
  <w:style w:type="character" w:customStyle="1" w:styleId="237">
    <w:name w:val="标题 2 Char"/>
    <w:qFormat/>
    <w:uiPriority w:val="0"/>
    <w:rPr>
      <w:rFonts w:ascii="仿宋_GB2312" w:hAnsi="Calibri" w:eastAsia="仿宋_GB2312" w:cs="Times New Roman"/>
      <w:b/>
      <w:spacing w:val="1"/>
      <w:w w:val="99"/>
      <w:kern w:val="0"/>
      <w:sz w:val="28"/>
      <w:szCs w:val="32"/>
    </w:rPr>
  </w:style>
  <w:style w:type="character" w:customStyle="1" w:styleId="238">
    <w:name w:val="l1"/>
    <w:basedOn w:val="49"/>
    <w:qFormat/>
    <w:uiPriority w:val="0"/>
  </w:style>
  <w:style w:type="character" w:customStyle="1" w:styleId="239">
    <w:name w:val="手改 Char Char"/>
    <w:qFormat/>
    <w:uiPriority w:val="0"/>
    <w:rPr>
      <w:kern w:val="2"/>
      <w:sz w:val="21"/>
      <w:szCs w:val="24"/>
    </w:rPr>
  </w:style>
  <w:style w:type="character" w:customStyle="1" w:styleId="240">
    <w:name w:val="style21"/>
    <w:qFormat/>
    <w:uiPriority w:val="0"/>
    <w:rPr>
      <w:b/>
      <w:bCs/>
      <w:sz w:val="28"/>
      <w:szCs w:val="28"/>
    </w:rPr>
  </w:style>
  <w:style w:type="character" w:customStyle="1" w:styleId="241">
    <w:name w:val="Char Char24"/>
    <w:qFormat/>
    <w:uiPriority w:val="0"/>
    <w:rPr>
      <w:b/>
      <w:bCs/>
      <w:kern w:val="44"/>
      <w:sz w:val="44"/>
      <w:szCs w:val="44"/>
    </w:rPr>
  </w:style>
  <w:style w:type="character" w:customStyle="1" w:styleId="242">
    <w:name w:val="_Style 197"/>
    <w:qFormat/>
    <w:uiPriority w:val="0"/>
    <w:rPr>
      <w:b/>
      <w:bCs/>
      <w:smallCaps/>
      <w:spacing w:val="5"/>
    </w:rPr>
  </w:style>
  <w:style w:type="character" w:customStyle="1" w:styleId="243">
    <w:name w:val="纯文本 Char1"/>
    <w:qFormat/>
    <w:uiPriority w:val="0"/>
    <w:rPr>
      <w:rFonts w:ascii="宋体" w:hAnsi="Courier New" w:cs="Courier New"/>
      <w:kern w:val="2"/>
      <w:sz w:val="21"/>
      <w:szCs w:val="21"/>
    </w:rPr>
  </w:style>
  <w:style w:type="character" w:customStyle="1" w:styleId="244">
    <w:name w:val="尾注文本 Char"/>
    <w:qFormat/>
    <w:uiPriority w:val="0"/>
    <w:rPr>
      <w:kern w:val="2"/>
      <w:sz w:val="21"/>
      <w:szCs w:val="24"/>
    </w:rPr>
  </w:style>
  <w:style w:type="character" w:customStyle="1" w:styleId="245">
    <w:name w:val="日期 Char1"/>
    <w:qFormat/>
    <w:uiPriority w:val="0"/>
    <w:rPr>
      <w:kern w:val="2"/>
      <w:sz w:val="21"/>
      <w:szCs w:val="22"/>
    </w:rPr>
  </w:style>
  <w:style w:type="character" w:customStyle="1" w:styleId="246">
    <w:name w:val="正文文本 Char1"/>
    <w:qFormat/>
    <w:uiPriority w:val="0"/>
    <w:rPr>
      <w:kern w:val="2"/>
      <w:sz w:val="21"/>
      <w:szCs w:val="22"/>
    </w:rPr>
  </w:style>
  <w:style w:type="character" w:customStyle="1" w:styleId="247">
    <w:name w:val="标题 9 Char1"/>
    <w:qFormat/>
    <w:uiPriority w:val="0"/>
    <w:rPr>
      <w:rFonts w:ascii="Times New Roman" w:hAnsi="Times New Roman" w:eastAsia="仿宋_GB2312" w:cs="Times New Roman"/>
      <w:sz w:val="30"/>
      <w:szCs w:val="20"/>
    </w:rPr>
  </w:style>
  <w:style w:type="character" w:customStyle="1" w:styleId="248">
    <w:name w:val="脚注文本 Char1"/>
    <w:qFormat/>
    <w:uiPriority w:val="0"/>
    <w:rPr>
      <w:rFonts w:ascii="Arial" w:hAnsi="Arial" w:cs="Arial"/>
      <w:sz w:val="18"/>
      <w:szCs w:val="18"/>
      <w:lang w:eastAsia="en-US"/>
    </w:rPr>
  </w:style>
  <w:style w:type="character" w:customStyle="1" w:styleId="249">
    <w:name w:val="正文文本缩进 Char"/>
    <w:qFormat/>
    <w:uiPriority w:val="0"/>
    <w:rPr>
      <w:rFonts w:ascii="黑体" w:hAnsi="宋体" w:eastAsia="黑体"/>
      <w:color w:val="000000"/>
      <w:sz w:val="28"/>
      <w:szCs w:val="32"/>
    </w:rPr>
  </w:style>
  <w:style w:type="character" w:customStyle="1" w:styleId="250">
    <w:name w:val="HTML 预设格式 Char1"/>
    <w:qFormat/>
    <w:uiPriority w:val="0"/>
    <w:rPr>
      <w:rFonts w:ascii="宋体" w:hAnsi="宋体" w:cs="宋体"/>
      <w:color w:val="000000"/>
      <w:sz w:val="24"/>
      <w:szCs w:val="24"/>
    </w:rPr>
  </w:style>
  <w:style w:type="character" w:customStyle="1" w:styleId="251">
    <w:name w:val="引用 Char3"/>
    <w:qFormat/>
    <w:uiPriority w:val="29"/>
    <w:rPr>
      <w:rFonts w:ascii="Calibri" w:hAnsi="Calibri" w:eastAsia="宋体" w:cs="Times New Roman"/>
      <w:i/>
      <w:iCs/>
      <w:color w:val="000000"/>
      <w:szCs w:val="24"/>
    </w:rPr>
  </w:style>
  <w:style w:type="character" w:customStyle="1" w:styleId="252">
    <w:name w:val="标题 7 Char1"/>
    <w:qFormat/>
    <w:uiPriority w:val="0"/>
    <w:rPr>
      <w:rFonts w:ascii="Times New Roman" w:hAnsi="Times New Roman" w:eastAsia="仿宋_GB2312" w:cs="Times New Roman"/>
      <w:sz w:val="30"/>
      <w:szCs w:val="20"/>
    </w:rPr>
  </w:style>
  <w:style w:type="character" w:customStyle="1" w:styleId="253">
    <w:name w:val="普通文字 Char Char1"/>
    <w:qFormat/>
    <w:uiPriority w:val="0"/>
    <w:rPr>
      <w:rFonts w:ascii="宋体" w:hAnsi="Courier New"/>
      <w:kern w:val="2"/>
      <w:sz w:val="28"/>
      <w:szCs w:val="28"/>
    </w:rPr>
  </w:style>
  <w:style w:type="character" w:customStyle="1" w:styleId="254">
    <w:name w:val="明显参考1"/>
    <w:qFormat/>
    <w:uiPriority w:val="0"/>
    <w:rPr>
      <w:b/>
      <w:bCs/>
      <w:smallCaps/>
      <w:color w:val="C0504D"/>
      <w:spacing w:val="5"/>
      <w:u w:val="single"/>
    </w:rPr>
  </w:style>
  <w:style w:type="character" w:customStyle="1" w:styleId="255">
    <w:name w:val="正文文本缩进 Char1"/>
    <w:qFormat/>
    <w:uiPriority w:val="0"/>
    <w:rPr>
      <w:kern w:val="2"/>
      <w:sz w:val="21"/>
      <w:szCs w:val="24"/>
    </w:rPr>
  </w:style>
  <w:style w:type="character" w:customStyle="1" w:styleId="256">
    <w:name w:val="页眉 Char"/>
    <w:qFormat/>
    <w:uiPriority w:val="0"/>
    <w:rPr>
      <w:sz w:val="18"/>
      <w:szCs w:val="18"/>
    </w:rPr>
  </w:style>
  <w:style w:type="character" w:customStyle="1" w:styleId="257">
    <w:name w:val="style31"/>
    <w:qFormat/>
    <w:uiPriority w:val="0"/>
    <w:rPr>
      <w:sz w:val="10"/>
      <w:szCs w:val="10"/>
    </w:rPr>
  </w:style>
  <w:style w:type="character" w:customStyle="1" w:styleId="258">
    <w:name w:val="日期 Char"/>
    <w:qFormat/>
    <w:uiPriority w:val="0"/>
    <w:rPr>
      <w:rFonts w:eastAsia="宋体"/>
      <w:szCs w:val="24"/>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main_tdbg_7601"/>
    <w:qFormat/>
    <w:uiPriority w:val="0"/>
    <w:rPr>
      <w:sz w:val="14"/>
      <w:szCs w:val="14"/>
    </w:rPr>
  </w:style>
  <w:style w:type="character" w:customStyle="1" w:styleId="261">
    <w:name w:val="尾注文本 Char1"/>
    <w:qFormat/>
    <w:uiPriority w:val="0"/>
    <w:rPr>
      <w:rFonts w:ascii="Arial" w:hAnsi="Arial" w:cs="Arial"/>
      <w:szCs w:val="24"/>
      <w:lang w:eastAsia="en-US"/>
    </w:rPr>
  </w:style>
  <w:style w:type="character" w:customStyle="1" w:styleId="262">
    <w:name w:val="副标题 Char2"/>
    <w:qFormat/>
    <w:uiPriority w:val="11"/>
    <w:rPr>
      <w:rFonts w:ascii="Cambria" w:hAnsi="Cambria" w:eastAsia="宋体" w:cs="Times New Roman"/>
      <w:b/>
      <w:bCs/>
      <w:kern w:val="28"/>
      <w:sz w:val="32"/>
      <w:szCs w:val="32"/>
    </w:rPr>
  </w:style>
  <w:style w:type="character" w:customStyle="1" w:styleId="263">
    <w:name w:val="正文文本缩进 3 Char2"/>
    <w:semiHidden/>
    <w:qFormat/>
    <w:uiPriority w:val="99"/>
    <w:rPr>
      <w:rFonts w:ascii="Calibri" w:hAnsi="Calibri" w:eastAsia="宋体" w:cs="Times New Roman"/>
      <w:sz w:val="16"/>
      <w:szCs w:val="16"/>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basedOn w:val="49"/>
    <w:qFormat/>
    <w:uiPriority w:val="0"/>
  </w:style>
  <w:style w:type="character" w:customStyle="1" w:styleId="266">
    <w:name w:val="ITTHEADER1 Char"/>
    <w:qFormat/>
    <w:uiPriority w:val="0"/>
    <w:rPr>
      <w:rFonts w:eastAsia="黑体"/>
      <w:kern w:val="2"/>
      <w:sz w:val="44"/>
      <w:szCs w:val="44"/>
      <w:lang w:val="en-US" w:eastAsia="zh-CN" w:bidi="ar-SA"/>
    </w:rPr>
  </w:style>
  <w:style w:type="character" w:customStyle="1" w:styleId="267">
    <w:name w:val="副标题 Char"/>
    <w:qFormat/>
    <w:uiPriority w:val="0"/>
    <w:rPr>
      <w:rFonts w:ascii="Cambria" w:hAnsi="Cambria" w:eastAsia="宋体" w:cs="Times New Roman"/>
      <w:b/>
      <w:bCs/>
      <w:kern w:val="28"/>
      <w:sz w:val="32"/>
      <w:szCs w:val="32"/>
    </w:rPr>
  </w:style>
  <w:style w:type="character" w:customStyle="1" w:styleId="268">
    <w:name w:val="标题 Char2"/>
    <w:qFormat/>
    <w:uiPriority w:val="10"/>
    <w:rPr>
      <w:rFonts w:ascii="Cambria" w:hAnsi="Cambria" w:eastAsia="宋体" w:cs="Times New Roman"/>
      <w:b/>
      <w:bCs/>
      <w:sz w:val="32"/>
      <w:szCs w:val="32"/>
    </w:rPr>
  </w:style>
  <w:style w:type="character" w:customStyle="1" w:styleId="269">
    <w:name w:val="正文文本 Char2"/>
    <w:qFormat/>
    <w:uiPriority w:val="99"/>
    <w:rPr>
      <w:kern w:val="2"/>
      <w:sz w:val="21"/>
      <w:szCs w:val="24"/>
    </w:rPr>
  </w:style>
  <w:style w:type="character" w:customStyle="1" w:styleId="270">
    <w:name w:val="0d1471"/>
    <w:qFormat/>
    <w:uiPriority w:val="0"/>
    <w:rPr>
      <w:color w:val="000000"/>
      <w:sz w:val="11"/>
      <w:szCs w:val="11"/>
      <w:u w:val="none"/>
    </w:rPr>
  </w:style>
  <w:style w:type="character" w:customStyle="1" w:styleId="271">
    <w:name w:val="批注主题 Char"/>
    <w:qFormat/>
    <w:uiPriority w:val="0"/>
    <w:rPr>
      <w:rFonts w:ascii="宋体" w:hAnsi="宋体" w:eastAsia="宋体"/>
      <w:kern w:val="2"/>
      <w:sz w:val="24"/>
      <w:szCs w:val="28"/>
      <w:lang w:val="en-US" w:eastAsia="zh-CN" w:bidi="ar-SA"/>
    </w:rPr>
  </w:style>
  <w:style w:type="character" w:customStyle="1" w:styleId="272">
    <w:name w:val="正文文本 2 Char1"/>
    <w:semiHidden/>
    <w:qFormat/>
    <w:uiPriority w:val="99"/>
    <w:rPr>
      <w:rFonts w:ascii="Calibri" w:hAnsi="Calibri" w:eastAsia="宋体" w:cs="Times New Roman"/>
      <w:szCs w:val="24"/>
    </w:rPr>
  </w:style>
  <w:style w:type="character" w:customStyle="1" w:styleId="273">
    <w:name w:val="批注框文本 Char1"/>
    <w:qFormat/>
    <w:uiPriority w:val="0"/>
    <w:rPr>
      <w:kern w:val="2"/>
      <w:sz w:val="18"/>
      <w:szCs w:val="18"/>
    </w:rPr>
  </w:style>
  <w:style w:type="character" w:customStyle="1" w:styleId="274">
    <w:name w:val="font161"/>
    <w:qFormat/>
    <w:uiPriority w:val="0"/>
    <w:rPr>
      <w:b/>
      <w:bCs/>
      <w:sz w:val="32"/>
      <w:szCs w:val="32"/>
    </w:rPr>
  </w:style>
  <w:style w:type="character" w:customStyle="1" w:styleId="275">
    <w:name w:val="Char Char32"/>
    <w:qFormat/>
    <w:uiPriority w:val="0"/>
    <w:rPr>
      <w:rFonts w:ascii="仿宋_GB2312" w:eastAsia="仿宋_GB2312" w:cs="MingLiU"/>
      <w:b/>
      <w:spacing w:val="1"/>
      <w:w w:val="99"/>
      <w:sz w:val="28"/>
      <w:szCs w:val="32"/>
    </w:rPr>
  </w:style>
  <w:style w:type="character" w:customStyle="1" w:styleId="276">
    <w:name w:val="标题 2 Char1"/>
    <w:qFormat/>
    <w:uiPriority w:val="0"/>
    <w:rPr>
      <w:rFonts w:ascii="Cambria" w:hAnsi="Cambria" w:eastAsia="宋体" w:cs="Times New Roman"/>
      <w:b/>
      <w:bCs/>
      <w:kern w:val="2"/>
      <w:sz w:val="32"/>
      <w:szCs w:val="32"/>
    </w:rPr>
  </w:style>
  <w:style w:type="character" w:customStyle="1" w:styleId="277">
    <w:name w:val="ss16"/>
    <w:qFormat/>
    <w:uiPriority w:val="0"/>
    <w:rPr>
      <w:rFonts w:hint="eastAsia" w:ascii="宋体" w:hAnsi="宋体" w:eastAsia="宋体"/>
      <w:color w:val="000000"/>
      <w:sz w:val="9"/>
      <w:szCs w:val="9"/>
    </w:rPr>
  </w:style>
  <w:style w:type="character" w:customStyle="1" w:styleId="278">
    <w:name w:val="批注主题 Char3"/>
    <w:semiHidden/>
    <w:qFormat/>
    <w:uiPriority w:val="99"/>
    <w:rPr>
      <w:rFonts w:ascii="Calibri" w:hAnsi="Calibri" w:eastAsia="宋体" w:cs="Times New Roman"/>
      <w:b/>
      <w:bCs/>
      <w:szCs w:val="24"/>
    </w:rPr>
  </w:style>
  <w:style w:type="character" w:customStyle="1" w:styleId="279">
    <w:name w:val="HTML 预设格式 Char2"/>
    <w:semiHidden/>
    <w:qFormat/>
    <w:uiPriority w:val="99"/>
    <w:rPr>
      <w:rFonts w:ascii="Courier New" w:hAnsi="Courier New" w:eastAsia="宋体" w:cs="Courier New"/>
      <w:sz w:val="20"/>
      <w:szCs w:val="20"/>
    </w:rPr>
  </w:style>
  <w:style w:type="character" w:customStyle="1" w:styleId="280">
    <w:name w:val="Char Char17"/>
    <w:qFormat/>
    <w:uiPriority w:val="0"/>
    <w:rPr>
      <w:kern w:val="2"/>
      <w:sz w:val="26"/>
      <w:szCs w:val="24"/>
    </w:rPr>
  </w:style>
  <w:style w:type="character" w:customStyle="1" w:styleId="281">
    <w:name w:val="标题 3 Char1"/>
    <w:qFormat/>
    <w:uiPriority w:val="0"/>
    <w:rPr>
      <w:rFonts w:ascii="Times New Roman" w:hAnsi="Times New Roman" w:eastAsia="宋体" w:cs="Times New Roman"/>
      <w:b/>
      <w:bCs/>
      <w:kern w:val="2"/>
      <w:sz w:val="32"/>
      <w:szCs w:val="32"/>
    </w:rPr>
  </w:style>
  <w:style w:type="character" w:customStyle="1" w:styleId="282">
    <w:name w:val="标题 5 Char"/>
    <w:qFormat/>
    <w:uiPriority w:val="0"/>
    <w:rPr>
      <w:rFonts w:ascii="Calibri" w:hAnsi="Calibri" w:eastAsia="宋体" w:cs="Times New Roman"/>
      <w:b/>
      <w:bCs/>
      <w:sz w:val="28"/>
      <w:szCs w:val="28"/>
    </w:rPr>
  </w:style>
  <w:style w:type="character" w:customStyle="1" w:styleId="283">
    <w:name w:val="页脚 Char1"/>
    <w:semiHidden/>
    <w:qFormat/>
    <w:uiPriority w:val="99"/>
    <w:rPr>
      <w:kern w:val="2"/>
      <w:sz w:val="18"/>
      <w:szCs w:val="18"/>
    </w:rPr>
  </w:style>
  <w:style w:type="character" w:customStyle="1" w:styleId="284">
    <w:name w:val="unnamed1"/>
    <w:basedOn w:val="49"/>
    <w:qFormat/>
    <w:uiPriority w:val="0"/>
  </w:style>
  <w:style w:type="character" w:customStyle="1" w:styleId="285">
    <w:name w:val="Char Char9"/>
    <w:qFormat/>
    <w:locked/>
    <w:uiPriority w:val="0"/>
    <w:rPr>
      <w:rFonts w:ascii="仿宋_GB2312" w:eastAsia="仿宋_GB2312" w:cs="MingLiU"/>
      <w:b/>
      <w:sz w:val="24"/>
      <w:szCs w:val="28"/>
      <w:lang w:val="en-US" w:eastAsia="zh-CN" w:bidi="ar-SA"/>
    </w:rPr>
  </w:style>
  <w:style w:type="character" w:customStyle="1" w:styleId="286">
    <w:name w:val="批注主题 Char1"/>
    <w:qFormat/>
    <w:uiPriority w:val="0"/>
    <w:rPr>
      <w:b/>
      <w:bCs/>
      <w:kern w:val="2"/>
      <w:sz w:val="21"/>
      <w:szCs w:val="22"/>
    </w:rPr>
  </w:style>
  <w:style w:type="character" w:customStyle="1" w:styleId="287">
    <w:name w:val="纯文本 Char2"/>
    <w:semiHidden/>
    <w:qFormat/>
    <w:uiPriority w:val="99"/>
    <w:rPr>
      <w:rFonts w:ascii="宋体" w:hAnsi="Courier New" w:eastAsia="宋体" w:cs="Courier New"/>
      <w:szCs w:val="21"/>
    </w:rPr>
  </w:style>
  <w:style w:type="character" w:customStyle="1" w:styleId="288">
    <w:name w:val="intel3"/>
    <w:basedOn w:val="49"/>
    <w:qFormat/>
    <w:uiPriority w:val="0"/>
  </w:style>
  <w:style w:type="character" w:customStyle="1" w:styleId="289">
    <w:name w:val="subhead1"/>
    <w:qFormat/>
    <w:uiPriority w:val="0"/>
    <w:rPr>
      <w:rFonts w:hint="default" w:ascii="Tahoma" w:hAnsi="Tahoma" w:cs="Tahoma"/>
      <w:color w:val="000000"/>
      <w:sz w:val="18"/>
      <w:szCs w:val="18"/>
      <w:u w:val="none"/>
      <w:shd w:val="clear" w:color="auto" w:fill="FFFFFF"/>
    </w:rPr>
  </w:style>
  <w:style w:type="character" w:customStyle="1" w:styleId="290">
    <w:name w:val="脚注文本 Char"/>
    <w:qFormat/>
    <w:uiPriority w:val="0"/>
    <w:rPr>
      <w:rFonts w:ascii="Arial" w:hAnsi="Arial" w:eastAsia="宋体" w:cs="Arial"/>
      <w:sz w:val="18"/>
      <w:szCs w:val="18"/>
      <w:lang w:eastAsia="en-US"/>
    </w:rPr>
  </w:style>
  <w:style w:type="character" w:customStyle="1" w:styleId="291">
    <w:name w:val="正文文本缩进 2 Char"/>
    <w:qFormat/>
    <w:uiPriority w:val="0"/>
    <w:rPr>
      <w:kern w:val="2"/>
      <w:sz w:val="21"/>
      <w:szCs w:val="24"/>
    </w:rPr>
  </w:style>
  <w:style w:type="character" w:customStyle="1" w:styleId="292">
    <w:name w:val="脚注文本 Char2"/>
    <w:semiHidden/>
    <w:qFormat/>
    <w:uiPriority w:val="99"/>
    <w:rPr>
      <w:rFonts w:ascii="Calibri" w:hAnsi="Calibri" w:eastAsia="宋体" w:cs="Times New Roman"/>
      <w:sz w:val="18"/>
      <w:szCs w:val="18"/>
    </w:rPr>
  </w:style>
  <w:style w:type="character" w:customStyle="1" w:styleId="293">
    <w:name w:val="ca-141"/>
    <w:qFormat/>
    <w:uiPriority w:val="0"/>
    <w:rPr>
      <w:rFonts w:hint="eastAsia" w:ascii="仿宋_GB2312" w:eastAsia="仿宋_GB2312"/>
      <w:sz w:val="21"/>
      <w:szCs w:val="21"/>
    </w:rPr>
  </w:style>
  <w:style w:type="character" w:customStyle="1" w:styleId="294">
    <w:name w:val="标题 Char1"/>
    <w:qFormat/>
    <w:uiPriority w:val="10"/>
    <w:rPr>
      <w:szCs w:val="24"/>
      <w:u w:val="single"/>
      <w:lang w:eastAsia="en-US"/>
    </w:rPr>
  </w:style>
  <w:style w:type="character" w:customStyle="1" w:styleId="295">
    <w:name w:val="style161"/>
    <w:qFormat/>
    <w:uiPriority w:val="0"/>
    <w:rPr>
      <w:b/>
      <w:bCs/>
      <w:color w:val="333333"/>
    </w:rPr>
  </w:style>
  <w:style w:type="character" w:customStyle="1" w:styleId="296">
    <w:name w:val="Char Char11"/>
    <w:qFormat/>
    <w:locked/>
    <w:uiPriority w:val="0"/>
    <w:rPr>
      <w:rFonts w:eastAsia="黑体"/>
      <w:kern w:val="2"/>
      <w:sz w:val="44"/>
      <w:szCs w:val="44"/>
      <w:lang w:val="en-US" w:eastAsia="zh-CN" w:bidi="ar-SA"/>
    </w:rPr>
  </w:style>
  <w:style w:type="character" w:customStyle="1" w:styleId="297">
    <w:name w:val="标题 7 Char"/>
    <w:qFormat/>
    <w:uiPriority w:val="0"/>
    <w:rPr>
      <w:rFonts w:ascii="Calibri" w:hAnsi="Calibri" w:eastAsia="宋体" w:cs="Times New Roman"/>
      <w:b/>
      <w:bCs/>
      <w:sz w:val="24"/>
      <w:szCs w:val="24"/>
    </w:rPr>
  </w:style>
  <w:style w:type="character" w:customStyle="1" w:styleId="298">
    <w:name w:val="批注文字 Char1"/>
    <w:qFormat/>
    <w:uiPriority w:val="99"/>
    <w:rPr>
      <w:rFonts w:ascii="Times New Roman" w:hAnsi="Times New Roman" w:eastAsia="宋体" w:cs="Times New Roman"/>
      <w:szCs w:val="24"/>
    </w:rPr>
  </w:style>
  <w:style w:type="character" w:customStyle="1" w:styleId="299">
    <w:name w:val="明显引用 Char"/>
    <w:qFormat/>
    <w:uiPriority w:val="0"/>
    <w:rPr>
      <w:rFonts w:ascii="Times New Roman" w:hAnsi="Times New Roman" w:eastAsia="宋体" w:cs="Times New Roman"/>
      <w:b/>
      <w:bCs/>
      <w:i/>
      <w:iCs/>
      <w:color w:val="4F81BD"/>
      <w:kern w:val="2"/>
      <w:sz w:val="21"/>
      <w:szCs w:val="24"/>
    </w:rPr>
  </w:style>
  <w:style w:type="character" w:customStyle="1" w:styleId="300">
    <w:name w:val="正文文本缩进 3 Char1"/>
    <w:qFormat/>
    <w:uiPriority w:val="0"/>
    <w:rPr>
      <w:rFonts w:ascii="宋体" w:hAnsi="宋体"/>
      <w:kern w:val="2"/>
      <w:sz w:val="28"/>
      <w:szCs w:val="28"/>
    </w:rPr>
  </w:style>
  <w:style w:type="character" w:customStyle="1" w:styleId="301">
    <w:name w:val="正文文本 Char"/>
    <w:qFormat/>
    <w:uiPriority w:val="0"/>
    <w:rPr>
      <w:sz w:val="26"/>
      <w:szCs w:val="24"/>
    </w:rPr>
  </w:style>
  <w:style w:type="character" w:customStyle="1" w:styleId="302">
    <w:name w:val="Char Char12"/>
    <w:qFormat/>
    <w:uiPriority w:val="0"/>
    <w:rPr>
      <w:rFonts w:eastAsia="黑体"/>
      <w:kern w:val="2"/>
      <w:sz w:val="44"/>
      <w:szCs w:val="44"/>
      <w:lang w:val="en-US" w:eastAsia="zh-CN" w:bidi="ar-SA"/>
    </w:rPr>
  </w:style>
  <w:style w:type="character" w:customStyle="1" w:styleId="303">
    <w:name w:val="标题 4 Char"/>
    <w:qFormat/>
    <w:uiPriority w:val="0"/>
    <w:rPr>
      <w:rFonts w:ascii="仿宋_GB2312" w:hAnsi="Calibri" w:eastAsia="仿宋_GB2312" w:cs="Times New Roman"/>
      <w:b/>
      <w:kern w:val="0"/>
      <w:sz w:val="24"/>
      <w:szCs w:val="28"/>
    </w:rPr>
  </w:style>
  <w:style w:type="character" w:customStyle="1" w:styleId="304">
    <w:name w:val="明显引用 Char3"/>
    <w:qFormat/>
    <w:uiPriority w:val="30"/>
    <w:rPr>
      <w:rFonts w:ascii="Calibri" w:hAnsi="Calibri" w:eastAsia="宋体" w:cs="Times New Roman"/>
      <w:b/>
      <w:bCs/>
      <w:i/>
      <w:iCs/>
      <w:color w:val="4F81BD"/>
      <w:szCs w:val="24"/>
    </w:rPr>
  </w:style>
  <w:style w:type="character" w:customStyle="1" w:styleId="305">
    <w:name w:val="引用 Char2"/>
    <w:qFormat/>
    <w:uiPriority w:val="99"/>
    <w:rPr>
      <w:i/>
      <w:iCs/>
      <w:color w:val="000000"/>
      <w:kern w:val="2"/>
      <w:sz w:val="21"/>
      <w:szCs w:val="24"/>
    </w:rPr>
  </w:style>
  <w:style w:type="character" w:customStyle="1" w:styleId="306">
    <w:name w:val="不明显强调1"/>
    <w:qFormat/>
    <w:uiPriority w:val="0"/>
    <w:rPr>
      <w:i/>
      <w:iCs/>
      <w:color w:val="808080"/>
    </w:rPr>
  </w:style>
  <w:style w:type="character" w:customStyle="1" w:styleId="307">
    <w:name w:val="color_red1"/>
    <w:qFormat/>
    <w:uiPriority w:val="0"/>
    <w:rPr>
      <w:color w:val="FA0004"/>
    </w:rPr>
  </w:style>
  <w:style w:type="character" w:customStyle="1" w:styleId="308">
    <w:name w:val="Char Char13"/>
    <w:qFormat/>
    <w:uiPriority w:val="0"/>
    <w:rPr>
      <w:kern w:val="2"/>
      <w:sz w:val="18"/>
      <w:szCs w:val="18"/>
    </w:rPr>
  </w:style>
  <w:style w:type="character" w:customStyle="1" w:styleId="309">
    <w:name w:val="文档结构图 Char2"/>
    <w:qFormat/>
    <w:uiPriority w:val="99"/>
    <w:rPr>
      <w:kern w:val="2"/>
      <w:sz w:val="21"/>
      <w:szCs w:val="24"/>
      <w:shd w:val="clear" w:color="auto" w:fill="000080"/>
    </w:rPr>
  </w:style>
  <w:style w:type="character" w:customStyle="1" w:styleId="310">
    <w:name w:val="批注文字 Char2"/>
    <w:qFormat/>
    <w:uiPriority w:val="0"/>
    <w:rPr>
      <w:rFonts w:ascii="Calibri" w:hAnsi="Calibri" w:eastAsia="宋体" w:cs="Times New Roman"/>
      <w:szCs w:val="24"/>
    </w:rPr>
  </w:style>
  <w:style w:type="character" w:customStyle="1" w:styleId="311">
    <w:name w:val="标题 8 Char1"/>
    <w:qFormat/>
    <w:uiPriority w:val="0"/>
    <w:rPr>
      <w:rFonts w:ascii="Times New Roman" w:hAnsi="Arial" w:eastAsia="仿宋_GB2312" w:cs="Times New Roman"/>
      <w:sz w:val="30"/>
      <w:szCs w:val="20"/>
    </w:rPr>
  </w:style>
  <w:style w:type="character" w:customStyle="1" w:styleId="312">
    <w:name w:val="Char Char21"/>
    <w:qFormat/>
    <w:uiPriority w:val="0"/>
    <w:rPr>
      <w:rFonts w:ascii="宋体" w:hAnsi="宋体" w:cs="宋体"/>
      <w:b/>
      <w:bCs/>
      <w:sz w:val="24"/>
      <w:szCs w:val="24"/>
    </w:rPr>
  </w:style>
  <w:style w:type="character" w:customStyle="1" w:styleId="313">
    <w:name w:val="标题 6 Char1"/>
    <w:qFormat/>
    <w:uiPriority w:val="0"/>
    <w:rPr>
      <w:rFonts w:ascii="Times New Roman" w:hAnsi="Arial" w:eastAsia="仿宋_GB2312" w:cs="Times New Roman"/>
      <w:sz w:val="30"/>
      <w:szCs w:val="20"/>
    </w:rPr>
  </w:style>
  <w:style w:type="character" w:customStyle="1" w:styleId="314">
    <w:name w:val="_Style 293"/>
    <w:qFormat/>
    <w:uiPriority w:val="0"/>
    <w:rPr>
      <w:smallCaps/>
      <w:color w:val="C0504D"/>
      <w:u w:val="single"/>
    </w:rPr>
  </w:style>
  <w:style w:type="character" w:customStyle="1" w:styleId="315">
    <w:name w:val="副标题 Char1"/>
    <w:qFormat/>
    <w:uiPriority w:val="0"/>
    <w:rPr>
      <w:szCs w:val="24"/>
      <w:u w:val="single"/>
      <w:lang w:eastAsia="en-US"/>
    </w:rPr>
  </w:style>
  <w:style w:type="character" w:customStyle="1" w:styleId="316">
    <w:name w:val="正文文本 Char3"/>
    <w:semiHidden/>
    <w:qFormat/>
    <w:uiPriority w:val="99"/>
    <w:rPr>
      <w:rFonts w:ascii="Calibri" w:hAnsi="Calibri" w:eastAsia="宋体" w:cs="Times New Roman"/>
      <w:szCs w:val="24"/>
    </w:rPr>
  </w:style>
  <w:style w:type="character" w:customStyle="1" w:styleId="317">
    <w:name w:val="标题 4 Char1"/>
    <w:qFormat/>
    <w:uiPriority w:val="0"/>
    <w:rPr>
      <w:rFonts w:ascii="宋体" w:hAnsi="宋体" w:eastAsia="宋体" w:cs="宋体"/>
      <w:b/>
      <w:bCs/>
      <w:sz w:val="24"/>
      <w:szCs w:val="24"/>
    </w:rPr>
  </w:style>
  <w:style w:type="character" w:customStyle="1" w:styleId="318">
    <w:name w:val="文档结构图 Char3"/>
    <w:semiHidden/>
    <w:qFormat/>
    <w:uiPriority w:val="99"/>
    <w:rPr>
      <w:rFonts w:ascii="宋体" w:hAnsi="Calibri" w:eastAsia="宋体" w:cs="Times New Roman"/>
      <w:sz w:val="18"/>
      <w:szCs w:val="18"/>
    </w:rPr>
  </w:style>
  <w:style w:type="character" w:customStyle="1" w:styleId="319">
    <w:name w:val="正文文本 3 Char2"/>
    <w:semiHidden/>
    <w:qFormat/>
    <w:uiPriority w:val="99"/>
    <w:rPr>
      <w:rFonts w:ascii="Calibri" w:hAnsi="Calibri" w:eastAsia="宋体" w:cs="Times New Roman"/>
      <w:sz w:val="16"/>
      <w:szCs w:val="16"/>
    </w:rPr>
  </w:style>
  <w:style w:type="character" w:customStyle="1" w:styleId="320">
    <w:name w:val="Char Char23"/>
    <w:qFormat/>
    <w:uiPriority w:val="0"/>
    <w:rPr>
      <w:rFonts w:ascii="Cambria" w:hAnsi="Cambria" w:eastAsia="宋体" w:cs="Times New Roman"/>
      <w:b/>
      <w:bCs/>
      <w:kern w:val="2"/>
      <w:sz w:val="32"/>
      <w:szCs w:val="32"/>
    </w:rPr>
  </w:style>
  <w:style w:type="character" w:customStyle="1" w:styleId="321">
    <w:name w:val="尾注文本 Char2"/>
    <w:semiHidden/>
    <w:qFormat/>
    <w:uiPriority w:val="99"/>
    <w:rPr>
      <w:rFonts w:ascii="Calibri" w:hAnsi="Calibri" w:eastAsia="宋体" w:cs="Times New Roman"/>
      <w:szCs w:val="24"/>
    </w:rPr>
  </w:style>
  <w:style w:type="character" w:customStyle="1" w:styleId="322">
    <w:name w:val="书籍标题1"/>
    <w:qFormat/>
    <w:uiPriority w:val="0"/>
    <w:rPr>
      <w:b/>
      <w:bCs/>
      <w:smallCaps/>
      <w:spacing w:val="5"/>
    </w:rPr>
  </w:style>
  <w:style w:type="character" w:customStyle="1" w:styleId="323">
    <w:name w:val="ITTHEADER2 Char"/>
    <w:qFormat/>
    <w:uiPriority w:val="0"/>
    <w:rPr>
      <w:rFonts w:ascii="仿宋_GB2312" w:eastAsia="仿宋_GB2312" w:cs="MingLiU"/>
      <w:b/>
      <w:spacing w:val="1"/>
      <w:w w:val="99"/>
      <w:sz w:val="28"/>
      <w:szCs w:val="32"/>
      <w:lang w:val="en-US" w:eastAsia="zh-CN" w:bidi="ar-SA"/>
    </w:rPr>
  </w:style>
  <w:style w:type="character" w:customStyle="1" w:styleId="324">
    <w:name w:val="批注文字 Char Char"/>
    <w:qFormat/>
    <w:uiPriority w:val="0"/>
    <w:rPr>
      <w:rFonts w:ascii="宋体" w:hAnsi="Times New Roman" w:eastAsia="宋体" w:cs="Times New Roman"/>
      <w:sz w:val="28"/>
      <w:szCs w:val="20"/>
    </w:rPr>
  </w:style>
  <w:style w:type="character" w:customStyle="1" w:styleId="325">
    <w:name w:val="批注主题 Char2"/>
    <w:qFormat/>
    <w:uiPriority w:val="99"/>
    <w:rPr>
      <w:b/>
      <w:bCs/>
      <w:kern w:val="2"/>
      <w:sz w:val="21"/>
      <w:szCs w:val="24"/>
    </w:rPr>
  </w:style>
  <w:style w:type="character" w:customStyle="1" w:styleId="326">
    <w:name w:val="normaltext1"/>
    <w:qFormat/>
    <w:uiPriority w:val="0"/>
    <w:rPr>
      <w:rFonts w:hint="default" w:ascii="ˎ̥" w:hAnsi="ˎ̥"/>
      <w:sz w:val="9"/>
      <w:szCs w:val="9"/>
    </w:rPr>
  </w:style>
  <w:style w:type="character" w:customStyle="1" w:styleId="327">
    <w:name w:val="不明显参考1"/>
    <w:qFormat/>
    <w:uiPriority w:val="0"/>
    <w:rPr>
      <w:smallCaps/>
      <w:color w:val="C0504D"/>
      <w:u w:val="single"/>
    </w:rPr>
  </w:style>
  <w:style w:type="character" w:customStyle="1" w:styleId="328">
    <w:name w:val="标题 6 Char"/>
    <w:qFormat/>
    <w:uiPriority w:val="0"/>
    <w:rPr>
      <w:rFonts w:ascii="Arial" w:hAnsi="Arial" w:eastAsia="黑体" w:cs="Times New Roman"/>
      <w:b/>
      <w:bCs/>
      <w:sz w:val="24"/>
      <w:szCs w:val="24"/>
    </w:rPr>
  </w:style>
  <w:style w:type="character" w:customStyle="1" w:styleId="329">
    <w:name w:val="font31"/>
    <w:basedOn w:val="49"/>
    <w:qFormat/>
    <w:uiPriority w:val="0"/>
    <w:rPr>
      <w:rFonts w:hint="default" w:ascii="Times New Roman" w:hAnsi="Times New Roman" w:cs="Times New Roman"/>
      <w:color w:val="000000"/>
      <w:sz w:val="18"/>
      <w:szCs w:val="18"/>
      <w:u w:val="none"/>
    </w:rPr>
  </w:style>
  <w:style w:type="paragraph" w:customStyle="1" w:styleId="33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31">
    <w:name w:val="修订4"/>
    <w:hidden/>
    <w:semiHidden/>
    <w:qFormat/>
    <w:uiPriority w:val="99"/>
    <w:rPr>
      <w:rFonts w:ascii="Times New Roman" w:hAnsi="Times New Roman" w:eastAsia="宋体" w:cs="Times New Roman"/>
      <w:kern w:val="2"/>
      <w:sz w:val="28"/>
      <w:lang w:val="en-US" w:eastAsia="zh-CN" w:bidi="ar-SA"/>
    </w:rPr>
  </w:style>
  <w:style w:type="character" w:customStyle="1" w:styleId="332">
    <w:name w:val="font41"/>
    <w:basedOn w:val="49"/>
    <w:qFormat/>
    <w:uiPriority w:val="0"/>
    <w:rPr>
      <w:rFonts w:hint="eastAsia" w:ascii="方正仿宋_GBK" w:hAnsi="方正仿宋_GBK" w:eastAsia="方正仿宋_GBK" w:cs="方正仿宋_GBK"/>
      <w:color w:val="000000"/>
      <w:sz w:val="18"/>
      <w:szCs w:val="18"/>
      <w:u w:val="none"/>
    </w:rPr>
  </w:style>
  <w:style w:type="paragraph" w:customStyle="1" w:styleId="333">
    <w:name w:val="cucd-0"/>
    <w:qFormat/>
    <w:uiPriority w:val="0"/>
    <w:pPr>
      <w:ind w:firstLine="480" w:firstLineChars="200"/>
    </w:pPr>
    <w:rPr>
      <w:rFonts w:ascii="宋体" w:hAnsi="宋体" w:eastAsia="宋体" w:cs="Times New Roman"/>
      <w:sz w:val="24"/>
      <w:szCs w:val="24"/>
      <w:lang w:val="en-US" w:eastAsia="zh-CN" w:bidi="ar-SA"/>
    </w:rPr>
  </w:style>
  <w:style w:type="paragraph" w:customStyle="1" w:styleId="334">
    <w:name w:val="表"/>
    <w:basedOn w:val="1"/>
    <w:next w:val="1"/>
    <w:qFormat/>
    <w:uiPriority w:val="0"/>
    <w:pPr>
      <w:spacing w:line="400" w:lineRule="atLeast"/>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143A7E-BC01-49E5-A877-F4D84892A26F}">
  <ds:schemaRefs/>
</ds:datastoreItem>
</file>

<file path=docProps/app.xml><?xml version="1.0" encoding="utf-8"?>
<Properties xmlns="http://schemas.openxmlformats.org/officeDocument/2006/extended-properties" xmlns:vt="http://schemas.openxmlformats.org/officeDocument/2006/docPropsVTypes">
  <Template>Normal</Template>
  <Pages>67</Pages>
  <Words>20243</Words>
  <Characters>21076</Characters>
  <Lines>197</Lines>
  <Paragraphs>55</Paragraphs>
  <TotalTime>8</TotalTime>
  <ScaleCrop>false</ScaleCrop>
  <LinksUpToDate>false</LinksUpToDate>
  <CharactersWithSpaces>25528</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2023-03-15T15:09:00Z</dcterms:created>
  <dc:creator>任任任任……;YYH</dc:creator>
  <cp:lastModifiedBy>乱了夏天蓝了海</cp:lastModifiedBy>
  <cp:lastPrinted>2023-03-22T02:15:00Z</cp:lastPrinted>
  <dcterms:modified xsi:type="dcterms:W3CDTF">2023-08-18T01:13:06Z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B2FD1AD046194F35B7C546085CFD4CDE</vt:lpwstr>
  </property>
  <property fmtid="{D5CDD505-2E9C-101B-9397-08002B2CF9AE}" pid="4" name="commondata">
    <vt:lpwstr>eyJoZGlkIjoiZDcyNDdkOTcyNTQxNjI1ZWM0NTU2ODQyN2YyMzJjYjAifQ==</vt:lpwstr>
  </property>
</Properties>
</file>