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080"/>
          <w:tab w:val="left" w:pos="6640"/>
        </w:tabs>
        <w:autoSpaceDE w:val="0"/>
        <w:autoSpaceDN w:val="0"/>
        <w:snapToGrid w:val="0"/>
        <w:ind w:firstLine="0" w:firstLineChars="0"/>
        <w:jc w:val="both"/>
        <w:rPr>
          <w:rFonts w:hint="eastAsia" w:eastAsia="宋体"/>
          <w:highlight w:val="none"/>
          <w:lang w:eastAsia="zh-CN"/>
        </w:rPr>
      </w:pPr>
      <w:r>
        <w:rPr>
          <w:rFonts w:hint="eastAsia"/>
          <w:highlight w:val="none"/>
          <w:lang w:eastAsia="zh-CN"/>
        </w:rPr>
        <w:t>附件</w:t>
      </w:r>
    </w:p>
    <w:p>
      <w:pPr>
        <w:widowControl/>
        <w:tabs>
          <w:tab w:val="left" w:pos="6080"/>
          <w:tab w:val="left" w:pos="6640"/>
        </w:tabs>
        <w:autoSpaceDE w:val="0"/>
        <w:autoSpaceDN w:val="0"/>
        <w:snapToGrid w:val="0"/>
        <w:ind w:firstLine="0" w:firstLineChars="0"/>
        <w:jc w:val="center"/>
        <w:rPr>
          <w:highlight w:val="none"/>
        </w:rPr>
      </w:pPr>
    </w:p>
    <w:p>
      <w:pPr>
        <w:wordWrap w:val="0"/>
        <w:spacing w:line="600" w:lineRule="exact"/>
        <w:ind w:firstLine="5880" w:firstLineChars="2100"/>
        <w:jc w:val="both"/>
        <w:rPr>
          <w:rStyle w:val="31"/>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合同编号：     </w:t>
      </w:r>
    </w:p>
    <w:p>
      <w:pPr>
        <w:keepNext w:val="0"/>
        <w:keepLines w:val="0"/>
        <w:pageBreakBefore w:val="0"/>
        <w:widowControl w:val="0"/>
        <w:kinsoku/>
        <w:wordWrap/>
        <w:overflowPunct w:val="0"/>
        <w:topLinePunct w:val="0"/>
        <w:autoSpaceDE/>
        <w:autoSpaceDN/>
        <w:bidi w:val="0"/>
        <w:adjustRightInd/>
        <w:snapToGrid/>
        <w:spacing w:line="720" w:lineRule="exact"/>
        <w:ind w:firstLine="0" w:firstLineChars="0"/>
        <w:jc w:val="center"/>
        <w:textAlignment w:val="auto"/>
        <w:rPr>
          <w:rFonts w:hint="eastAsia" w:ascii="方正小标宋_GBK" w:hAnsi="方正小标宋_GBK" w:eastAsia="方正小标宋_GBK" w:cs="方正小标宋_GBK"/>
          <w:b w:val="0"/>
          <w:bCs w:val="0"/>
          <w:color w:val="auto"/>
          <w:kern w:val="0"/>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lang w:eastAsia="zh-CN"/>
        </w:rPr>
        <w:t>轨道式集装箱门式起重机</w:t>
      </w:r>
      <w:r>
        <w:rPr>
          <w:rFonts w:hint="eastAsia" w:ascii="方正小标宋_GBK" w:hAnsi="方正小标宋_GBK" w:eastAsia="方正小标宋_GBK" w:cs="方正小标宋_GBK"/>
          <w:b w:val="0"/>
          <w:bCs w:val="0"/>
          <w:color w:val="auto"/>
          <w:kern w:val="0"/>
          <w:sz w:val="44"/>
          <w:szCs w:val="44"/>
          <w:highlight w:val="none"/>
        </w:rPr>
        <w:t>定点维保服务合同</w:t>
      </w:r>
    </w:p>
    <w:p>
      <w:pPr>
        <w:overflowPunct w:val="0"/>
        <w:spacing w:line="600" w:lineRule="exact"/>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甲方：</w:t>
      </w:r>
      <w:r>
        <w:rPr>
          <w:rFonts w:hint="eastAsia" w:ascii="宋体" w:hAnsi="宋体" w:eastAsia="宋体" w:cs="宋体"/>
          <w:b w:val="0"/>
          <w:bCs w:val="0"/>
          <w:color w:val="auto"/>
          <w:kern w:val="0"/>
          <w:sz w:val="24"/>
          <w:szCs w:val="24"/>
          <w:highlight w:val="none"/>
          <w:lang w:eastAsia="zh-CN"/>
        </w:rPr>
        <w:t>重庆益渝节能环保科技有限公司长寿益畅分公司</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乙方</w:t>
      </w:r>
      <w:r>
        <w:rPr>
          <w:rFonts w:hint="eastAsia" w:ascii="宋体" w:hAnsi="宋体" w:eastAsia="宋体" w:cs="宋体"/>
          <w:b/>
          <w:bCs/>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》等有关法律法规的规定，甲、乙双方在平等自愿、协商一致的基础上，就</w:t>
      </w:r>
      <w:r>
        <w:rPr>
          <w:rFonts w:hint="eastAsia" w:ascii="宋体" w:hAnsi="宋体" w:eastAsia="宋体" w:cs="宋体"/>
          <w:color w:val="auto"/>
          <w:kern w:val="0"/>
          <w:sz w:val="24"/>
          <w:szCs w:val="24"/>
          <w:highlight w:val="none"/>
          <w:lang w:eastAsia="zh-CN"/>
        </w:rPr>
        <w:t>轨道式集装箱门式起重机</w:t>
      </w:r>
      <w:r>
        <w:rPr>
          <w:rFonts w:hint="eastAsia" w:ascii="宋体" w:hAnsi="宋体" w:eastAsia="宋体" w:cs="宋体"/>
          <w:color w:val="auto"/>
          <w:kern w:val="0"/>
          <w:sz w:val="24"/>
          <w:szCs w:val="24"/>
          <w:highlight w:val="none"/>
        </w:rPr>
        <w:t>定点维保服务项目约定如下：</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第一条  服务范围</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务范围：本项目主要用于重庆益渝节能环保科技有限公司长寿益畅分公司1台轨道式集装箱门式起重机定点维保，从而消除使用安全隐患，提高设备使用寿命及降低故障率。设备保养包括一级保养、二级保养和巡检。设备维保时间应不得影响公司垃圾收运的正常运行。实际服务内容以</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现场指定的范围和指定设备为准，</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应充分了解，且自行承担因实际需求变动造成的所有风险（包含国家相关机构年检费用）。。</w:t>
      </w:r>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2、服务期限：服务有效期为</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年，自</w:t>
      </w:r>
      <w:r>
        <w:rPr>
          <w:rFonts w:hint="eastAsia" w:ascii="宋体" w:hAnsi="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日起至</w:t>
      </w:r>
      <w:r>
        <w:rPr>
          <w:rFonts w:hint="eastAsia" w:ascii="宋体" w:hAnsi="宋体" w:cs="宋体"/>
          <w:color w:val="auto"/>
          <w:kern w:val="0"/>
          <w:sz w:val="24"/>
          <w:szCs w:val="24"/>
          <w:highlight w:val="none"/>
          <w:lang w:val="en-US" w:eastAsia="zh-CN"/>
        </w:rPr>
        <w:t>2027</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日止。合同乙方自行考虑未能续签合同的潜在风险、及未能续签合同可能造成的经济或其他损失。</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第二条   服务要求</w:t>
      </w:r>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1、响应速度</w:t>
      </w:r>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乙方服务工程师从接到服务信息后10分钟内出发或电话向客户说明处理措施。从接到服务信息起至到达故障现场的时间（以服务办事处为基准点）：市区内不超过</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小时。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第三条  保养项目</w:t>
      </w:r>
    </w:p>
    <w:p>
      <w:pPr>
        <w:keepNext w:val="0"/>
        <w:keepLines w:val="0"/>
        <w:pageBreakBefore w:val="0"/>
        <w:widowControl w:val="0"/>
        <w:kinsoku/>
        <w:wordWrap/>
        <w:overflowPunct/>
        <w:topLinePunct w:val="0"/>
        <w:autoSpaceDE/>
        <w:autoSpaceDN/>
        <w:bidi w:val="0"/>
        <w:adjustRightInd/>
        <w:snapToGrid/>
        <w:spacing w:line="720" w:lineRule="exact"/>
        <w:ind w:firstLine="1320" w:firstLineChars="300"/>
        <w:textAlignment w:val="auto"/>
        <w:rPr>
          <w:rFonts w:hint="eastAsia" w:ascii="方正小标宋_GBK" w:hAnsi="方正小标宋_GBK" w:eastAsia="方正小标宋_GBK" w:cs="方正小标宋_GBK"/>
          <w:b w:val="0"/>
          <w:bCs/>
          <w:color w:val="auto"/>
          <w:kern w:val="0"/>
          <w:sz w:val="44"/>
          <w:szCs w:val="44"/>
          <w:highlight w:val="none"/>
        </w:rPr>
      </w:pPr>
      <w:r>
        <w:rPr>
          <w:rFonts w:hint="eastAsia" w:ascii="方正小标宋_GBK" w:hAnsi="方正小标宋_GBK" w:eastAsia="方正小标宋_GBK" w:cs="方正小标宋_GBK"/>
          <w:b w:val="0"/>
          <w:bCs/>
          <w:color w:val="auto"/>
          <w:kern w:val="0"/>
          <w:sz w:val="44"/>
          <w:szCs w:val="44"/>
          <w:highlight w:val="none"/>
          <w:lang w:eastAsia="zh-CN"/>
        </w:rPr>
        <w:t>轨道式集装箱门式起重机</w:t>
      </w:r>
      <w:r>
        <w:rPr>
          <w:rFonts w:hint="eastAsia" w:ascii="方正小标宋_GBK" w:hAnsi="方正小标宋_GBK" w:eastAsia="方正小标宋_GBK" w:cs="方正小标宋_GBK"/>
          <w:b w:val="0"/>
          <w:bCs/>
          <w:color w:val="auto"/>
          <w:kern w:val="0"/>
          <w:sz w:val="44"/>
          <w:szCs w:val="44"/>
          <w:highlight w:val="none"/>
          <w:lang w:val="en-US" w:eastAsia="zh-CN"/>
        </w:rPr>
        <w:t>巡检</w:t>
      </w:r>
      <w:r>
        <w:rPr>
          <w:rFonts w:hint="eastAsia" w:ascii="方正小标宋_GBK" w:hAnsi="方正小标宋_GBK" w:eastAsia="方正小标宋_GBK" w:cs="方正小标宋_GBK"/>
          <w:b w:val="0"/>
          <w:bCs/>
          <w:color w:val="auto"/>
          <w:kern w:val="0"/>
          <w:sz w:val="44"/>
          <w:szCs w:val="44"/>
          <w:highlight w:val="none"/>
        </w:rPr>
        <w:t>项目</w:t>
      </w:r>
    </w:p>
    <w:p>
      <w:pPr>
        <w:pStyle w:val="2"/>
        <w:rPr>
          <w:rFonts w:hint="eastAsia"/>
          <w:highlight w:val="none"/>
        </w:rPr>
      </w:pPr>
      <w:r>
        <w:rPr>
          <w:rFonts w:hint="eastAsia"/>
          <w:highlight w:val="none"/>
        </w:rPr>
        <w:t>以润滑检查、部件检查和检查起重机性能为主，以下内容应达到要求：</w:t>
      </w:r>
    </w:p>
    <w:tbl>
      <w:tblPr>
        <w:tblStyle w:val="17"/>
        <w:tblW w:w="499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10"/>
        <w:gridCol w:w="2064"/>
        <w:gridCol w:w="2981"/>
        <w:gridCol w:w="27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rPr>
        <w:tc>
          <w:tcPr>
            <w:tcW w:w="91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    目</w:t>
            </w:r>
          </w:p>
        </w:tc>
        <w:tc>
          <w:tcPr>
            <w:tcW w:w="21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巡 检</w:t>
            </w:r>
            <w:r>
              <w:rPr>
                <w:rFonts w:hint="eastAsia" w:ascii="宋体" w:hAnsi="宋体" w:eastAsia="宋体" w:cs="宋体"/>
                <w:color w:val="auto"/>
                <w:kern w:val="0"/>
                <w:sz w:val="21"/>
                <w:szCs w:val="21"/>
                <w:highlight w:val="none"/>
              </w:rPr>
              <w:t>  内  容</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巡  检</w:t>
            </w:r>
            <w:r>
              <w:rPr>
                <w:rFonts w:hint="eastAsia" w:ascii="宋体" w:hAnsi="宋体" w:eastAsia="宋体" w:cs="宋体"/>
                <w:color w:val="auto"/>
                <w:kern w:val="0"/>
                <w:sz w:val="21"/>
                <w:szCs w:val="21"/>
                <w:highlight w:val="none"/>
              </w:rPr>
              <w:t>    要    求</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判定标准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97" w:hRule="atLeast"/>
        </w:trPr>
        <w:tc>
          <w:tcPr>
            <w:tcW w:w="91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润滑</w:t>
            </w:r>
          </w:p>
        </w:tc>
        <w:tc>
          <w:tcPr>
            <w:tcW w:w="21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1．钢丝绳</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2．齿轮联轴器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3．制动器各铰点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4．链传动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5．减速器油面检查</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检查钢丝绳是否有断裂现象（全行程）</w:t>
            </w:r>
            <w:r>
              <w:rPr>
                <w:rFonts w:hint="eastAsia" w:ascii="宋体" w:hAnsi="宋体" w:eastAsia="宋体" w:cs="宋体"/>
                <w:color w:val="auto"/>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润滑脂</w:t>
            </w:r>
            <w:r>
              <w:rPr>
                <w:rFonts w:hint="eastAsia" w:ascii="宋体" w:hAnsi="宋体" w:eastAsia="宋体" w:cs="宋体"/>
                <w:color w:val="auto"/>
                <w:kern w:val="0"/>
                <w:sz w:val="21"/>
                <w:szCs w:val="21"/>
                <w:highlight w:val="none"/>
                <w:lang w:val="en-US" w:eastAsia="zh-CN"/>
              </w:rPr>
              <w:t>是否缺失。</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检查各个活动部件。</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检查减速器油面，</w:t>
            </w:r>
            <w:r>
              <w:rPr>
                <w:rFonts w:hint="eastAsia" w:ascii="宋体" w:hAnsi="宋体" w:eastAsia="宋体" w:cs="宋体"/>
                <w:color w:val="auto"/>
                <w:kern w:val="0"/>
                <w:sz w:val="21"/>
                <w:szCs w:val="21"/>
                <w:highlight w:val="none"/>
              </w:rPr>
              <w:t>油液应在油标刻度线中间</w:t>
            </w:r>
            <w:r>
              <w:rPr>
                <w:rFonts w:hint="eastAsia" w:ascii="宋体" w:hAnsi="宋体" w:eastAsia="宋体" w:cs="宋体"/>
                <w:color w:val="auto"/>
                <w:kern w:val="0"/>
                <w:sz w:val="21"/>
                <w:szCs w:val="21"/>
                <w:highlight w:val="none"/>
                <w:lang w:eastAsia="zh-CN"/>
              </w:rPr>
              <w:t>。</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钢丝绳无断裂现象（全行程）</w:t>
            </w:r>
            <w:r>
              <w:rPr>
                <w:rFonts w:hint="eastAsia" w:ascii="宋体" w:hAnsi="宋体" w:eastAsia="宋体" w:cs="宋体"/>
                <w:color w:val="auto"/>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2．润滑脂</w:t>
            </w:r>
            <w:r>
              <w:rPr>
                <w:rFonts w:hint="eastAsia" w:ascii="宋体" w:hAnsi="宋体" w:eastAsia="宋体" w:cs="宋体"/>
                <w:color w:val="auto"/>
                <w:kern w:val="0"/>
                <w:sz w:val="21"/>
                <w:szCs w:val="21"/>
                <w:highlight w:val="none"/>
                <w:lang w:val="en-US" w:eastAsia="zh-CN"/>
              </w:rPr>
              <w:t>无缺失。</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各个活动部件无破损，撕裂等异常。</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减速器油面，</w:t>
            </w:r>
            <w:r>
              <w:rPr>
                <w:rFonts w:hint="eastAsia" w:ascii="宋体" w:hAnsi="宋体" w:eastAsia="宋体" w:cs="宋体"/>
                <w:color w:val="auto"/>
                <w:kern w:val="0"/>
                <w:sz w:val="21"/>
                <w:szCs w:val="21"/>
                <w:highlight w:val="none"/>
              </w:rPr>
              <w:t>油液应在油标刻度线中间</w:t>
            </w:r>
            <w:r>
              <w:rPr>
                <w:rFonts w:hint="eastAsia" w:ascii="宋体" w:hAnsi="宋体" w:eastAsia="宋体" w:cs="宋体"/>
                <w:color w:val="auto"/>
                <w:kern w:val="0"/>
                <w:sz w:val="21"/>
                <w:szCs w:val="21"/>
                <w:highlight w:val="none"/>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84" w:hRule="atLeast"/>
        </w:trPr>
        <w:tc>
          <w:tcPr>
            <w:tcW w:w="91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检查机械部件</w:t>
            </w:r>
          </w:p>
        </w:tc>
        <w:tc>
          <w:tcPr>
            <w:tcW w:w="21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1．检查吊钩滑轮组、卷筒组、吊具</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2．检查制动器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3．检查减速器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4．检查联轴器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5．检查车轮及角型轴承座</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6．检查水平滚轮及垂直滚轮</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7．检查各传动件及支承件</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8．性能检查</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1．钢丝绳绳端压紧螺栓及绳夹应齐全；吊钩横梁、滑轮轴应无裂纹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2．制动轮工作表面应光滑，制动瓦块衬垫与制动轮的接触面积应在70％以上，松闸后间隙适当；制动瓦块衬垫磨损量不得超过原厚度的50％，弹簧不得有永久变形或裂纹。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3．打开视孔盖，检查齿轮及油质状况。齿轮应啮合良好，油质清洁无杂质，箱体无裂纹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4．检查轴线偏斜及轴向安装位置和弹性联轴器的弹性</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5．检查大小车轮运行状况，</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啃道现象。角型轴承座应无裂纹，螺栓齐全，不动松。</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6．滚轮应转动灵活，无严重滑移现象</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7．无裂损、开焊和显著变形</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8．各部运转平稳，无异响、异状；制动性能可靠；轴承音响正常均匀，其温度（工作时）不应超过80℃</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1．钢丝绳绳端压紧螺栓及绳夹应齐全；吊钩横梁、滑轮轴应无裂纹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2．制动轮工作表面应光滑，制动瓦块衬垫与制动轮的接触面积应在70％以上，松闸后间隙适当；制动瓦块衬垫磨损量不得超过原厚度的50％，弹簧不得有永久变形或裂纹。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3．打开视孔盖，检查齿轮及油质状况。齿轮应啮合良好，油质清洁无杂质，箱体无裂纹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4．检查轴线偏斜及轴向安装位置和弹性联轴器的弹性</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5．检查大小车轮运行状况，</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啃道现象。角型轴承座应无裂纹，螺栓齐全，不动松。</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6．滚轮应转动灵活，无严重滑移现象</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7．无裂损、开焊和显著变形</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8．各部运转平稳，无异响、异状；制动性能可靠；轴承音响正常均匀，其温度（工作时）不应超过80℃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7" w:hRule="atLeast"/>
        </w:trPr>
        <w:tc>
          <w:tcPr>
            <w:tcW w:w="91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检查金属</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结构</w:t>
            </w:r>
          </w:p>
        </w:tc>
        <w:tc>
          <w:tcPr>
            <w:tcW w:w="21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检查金属结构的主要承力件及焊缝</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构件无显著变形，基本金属和连接焊缝均应无裂纹，连接螺栓无松动及脱落现象。</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构件无显著变形，基本金属和连接焊缝均应无裂纹，连接螺栓无松动及脱落现象。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96" w:hRule="atLeast"/>
        </w:trPr>
        <w:tc>
          <w:tcPr>
            <w:tcW w:w="91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检查</w:t>
            </w:r>
            <w:r>
              <w:rPr>
                <w:rFonts w:hint="eastAsia" w:ascii="宋体" w:hAnsi="宋体" w:eastAsia="宋体" w:cs="宋体"/>
                <w:color w:val="auto"/>
                <w:kern w:val="0"/>
                <w:sz w:val="21"/>
                <w:szCs w:val="21"/>
                <w:highlight w:val="none"/>
                <w:lang w:val="en-US" w:eastAsia="zh-CN"/>
              </w:rPr>
              <w:t>电机</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（专项）</w:t>
            </w:r>
          </w:p>
        </w:tc>
        <w:tc>
          <w:tcPr>
            <w:tcW w:w="21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1．检查电动机</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机壳外表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电动机运转平稳，无异常振动及异响，温升正常</w:t>
            </w:r>
            <w:r>
              <w:rPr>
                <w:rFonts w:hint="eastAsia" w:ascii="宋体" w:hAnsi="宋体" w:eastAsia="宋体" w:cs="宋体"/>
                <w:color w:val="auto"/>
                <w:kern w:val="0"/>
                <w:sz w:val="21"/>
                <w:szCs w:val="21"/>
                <w:highlight w:val="none"/>
                <w:lang w:eastAsia="zh-CN"/>
              </w:rPr>
              <w:t>。</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外表</w:t>
            </w:r>
            <w:r>
              <w:rPr>
                <w:rFonts w:hint="eastAsia" w:ascii="宋体" w:hAnsi="宋体" w:eastAsia="宋体" w:cs="宋体"/>
                <w:color w:val="auto"/>
                <w:kern w:val="0"/>
                <w:sz w:val="21"/>
                <w:szCs w:val="21"/>
                <w:highlight w:val="none"/>
                <w:lang w:val="en-US" w:eastAsia="zh-CN"/>
              </w:rPr>
              <w:t>无破损</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电动机运转平稳，无异常振动及异响，温升正常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无异常高温</w:t>
            </w:r>
            <w:r>
              <w:rPr>
                <w:rFonts w:hint="eastAsia" w:ascii="宋体" w:hAnsi="宋体" w:eastAsia="宋体" w:cs="宋体"/>
                <w:color w:val="auto"/>
                <w:kern w:val="0"/>
                <w:sz w:val="21"/>
                <w:szCs w:val="21"/>
                <w:highlight w:val="none"/>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97" w:hRule="atLeast"/>
        </w:trPr>
        <w:tc>
          <w:tcPr>
            <w:tcW w:w="91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检查电气部件</w:t>
            </w:r>
          </w:p>
        </w:tc>
        <w:tc>
          <w:tcPr>
            <w:tcW w:w="21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．清洁、检查主令控制器和凸轮控制器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．检查接触器、继电器、电磁铁和限位器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．检查电阻器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．检查熔断器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．照明、音响及供电装置</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内部灰尘和杂物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动、静触头应接触良好，在宽度方向的结合长度应大于3／4，其蚀损量不得大于原厚度的40％；各弹簧无断裂及永久变形，其压力应适中</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操作时，各档定位明确、轻便</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触头、烧蚀斑点，触头应接触良好，压力适中。灭弧罩应齐全良好，轴销无松动现象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工作时，吸合、分断准确，无卡滞、抖动现象，复位良好，无异常噪音</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．表面无脏物、无锈蚀、螺栓连结不松动，引线连接良好。电阻片、电阻丝无断裂现象</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．熔体容量应选择正确，不得以铜丝或其它金属代替</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．照明、音响装置齐全、良好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集电器应接触良好，接触面积应大于75％，运行时无严重火花。引线应连接良好无异状，橡套电缆和导线应无破损</w:t>
            </w:r>
          </w:p>
        </w:tc>
        <w:tc>
          <w:tcPr>
            <w:tcW w:w="30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内部灰尘和杂物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动、静触头应接触良好，在宽度方向的结合长度应大于3／4，其蚀损量不得大于原厚度的40％；各弹簧无断裂及永久变形，</w:t>
            </w:r>
            <w:r>
              <w:rPr>
                <w:rFonts w:hint="eastAsia" w:ascii="宋体" w:hAnsi="宋体" w:eastAsia="宋体" w:cs="宋体"/>
                <w:color w:val="auto"/>
                <w:kern w:val="0"/>
                <w:sz w:val="21"/>
                <w:szCs w:val="21"/>
                <w:highlight w:val="none"/>
                <w:lang w:val="en-US" w:eastAsia="zh-CN"/>
              </w:rPr>
              <w:t>回弹正常。</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操作时，各档定位明确、轻便</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触头、烧蚀斑点，触头应接触良好，压力适中。灭弧罩应齐全良好，轴销无松动现象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工作时，吸合、分断准确，无卡滞、抖动现象，复位良好，无异常噪音</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．表面无脏物、无锈蚀、螺栓连结不松动，引线连接良好。电阻片、电阻丝无断裂现象</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．熔体容量应选择正确，不得以铜丝或其它金属代替</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．照明、音响装置齐全、良好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集电器应接触良好，接触面积应大于75％，运行时无严重火花。引线应连接良好无异状，橡套电缆和导线应无破损</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每月巡检完成，乙方必须出具巡检报告：</w:t>
      </w:r>
    </w:p>
    <w:p>
      <w:p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720" w:lineRule="exact"/>
        <w:ind w:firstLine="880" w:firstLineChars="200"/>
        <w:jc w:val="center"/>
        <w:textAlignment w:val="auto"/>
        <w:rPr>
          <w:rFonts w:hint="eastAsia" w:ascii="方正小标宋_GBK" w:hAnsi="方正小标宋_GBK" w:eastAsia="方正小标宋_GBK" w:cs="方正小标宋_GBK"/>
          <w:b w:val="0"/>
          <w:bCs/>
          <w:color w:val="auto"/>
          <w:kern w:val="0"/>
          <w:sz w:val="44"/>
          <w:szCs w:val="44"/>
          <w:highlight w:val="none"/>
          <w:lang w:val="en-US" w:eastAsia="zh-CN"/>
        </w:rPr>
      </w:pPr>
      <w:r>
        <w:rPr>
          <w:rFonts w:hint="eastAsia" w:ascii="方正小标宋_GBK" w:hAnsi="方正小标宋_GBK" w:eastAsia="方正小标宋_GBK" w:cs="方正小标宋_GBK"/>
          <w:b w:val="0"/>
          <w:bCs/>
          <w:color w:val="auto"/>
          <w:kern w:val="0"/>
          <w:sz w:val="44"/>
          <w:szCs w:val="44"/>
          <w:highlight w:val="none"/>
          <w:lang w:val="en-US" w:eastAsia="zh-CN"/>
        </w:rPr>
        <w:t>轨道式集装箱门式起重机巡检报告</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方正黑体_GBK" w:hAnsi="方正黑体_GBK" w:eastAsia="方正黑体_GBK" w:cs="方正黑体_GBK"/>
          <w:b w:val="0"/>
          <w:bCs/>
          <w:color w:val="auto"/>
          <w:kern w:val="0"/>
          <w:sz w:val="32"/>
          <w:szCs w:val="32"/>
          <w:highlight w:val="none"/>
          <w:lang w:val="en-US" w:eastAsia="zh-CN"/>
        </w:rPr>
      </w:pPr>
      <w:r>
        <w:rPr>
          <w:rFonts w:hint="eastAsia" w:ascii="方正黑体_GBK" w:hAnsi="方正黑体_GBK" w:eastAsia="方正黑体_GBK" w:cs="方正黑体_GBK"/>
          <w:b w:val="0"/>
          <w:bCs/>
          <w:color w:val="auto"/>
          <w:kern w:val="0"/>
          <w:sz w:val="32"/>
          <w:szCs w:val="32"/>
          <w:highlight w:val="none"/>
          <w:lang w:val="en-US" w:eastAsia="zh-CN"/>
        </w:rPr>
        <w:t xml:space="preserve">                                   日期：</w:t>
      </w:r>
    </w:p>
    <w:tbl>
      <w:tblPr>
        <w:tblStyle w:val="17"/>
        <w:tblW w:w="499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16"/>
        <w:gridCol w:w="2073"/>
        <w:gridCol w:w="3407"/>
        <w:gridCol w:w="22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41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    目</w:t>
            </w:r>
          </w:p>
        </w:tc>
        <w:tc>
          <w:tcPr>
            <w:tcW w:w="21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巡 检</w:t>
            </w:r>
            <w:r>
              <w:rPr>
                <w:rFonts w:hint="eastAsia" w:ascii="宋体" w:hAnsi="宋体" w:eastAsia="宋体" w:cs="宋体"/>
                <w:color w:val="auto"/>
                <w:kern w:val="0"/>
                <w:sz w:val="21"/>
                <w:szCs w:val="21"/>
                <w:highlight w:val="none"/>
              </w:rPr>
              <w:t>  内  容</w:t>
            </w:r>
          </w:p>
        </w:tc>
        <w:tc>
          <w:tcPr>
            <w:tcW w:w="3594"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巡  检</w:t>
            </w:r>
            <w:r>
              <w:rPr>
                <w:rFonts w:hint="eastAsia" w:ascii="宋体" w:hAnsi="宋体" w:eastAsia="宋体" w:cs="宋体"/>
                <w:color w:val="auto"/>
                <w:kern w:val="0"/>
                <w:sz w:val="21"/>
                <w:szCs w:val="21"/>
                <w:highlight w:val="none"/>
              </w:rPr>
              <w:t>    要    求</w:t>
            </w:r>
          </w:p>
        </w:tc>
        <w:tc>
          <w:tcPr>
            <w:tcW w:w="26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判定</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（正常/故障及问题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97" w:hRule="atLeast"/>
        </w:trPr>
        <w:tc>
          <w:tcPr>
            <w:tcW w:w="141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润滑</w:t>
            </w:r>
          </w:p>
        </w:tc>
        <w:tc>
          <w:tcPr>
            <w:tcW w:w="21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1．钢丝绳</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2．齿轮联轴器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3．制动器各铰点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4．链传动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5．减速器油面检查</w:t>
            </w:r>
          </w:p>
        </w:tc>
        <w:tc>
          <w:tcPr>
            <w:tcW w:w="3594"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检查钢丝绳是否有断裂现象（全行程）</w:t>
            </w:r>
            <w:r>
              <w:rPr>
                <w:rFonts w:hint="eastAsia" w:ascii="宋体" w:hAnsi="宋体" w:eastAsia="宋体" w:cs="宋体"/>
                <w:color w:val="auto"/>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润滑脂</w:t>
            </w:r>
            <w:r>
              <w:rPr>
                <w:rFonts w:hint="eastAsia" w:ascii="宋体" w:hAnsi="宋体" w:eastAsia="宋体" w:cs="宋体"/>
                <w:color w:val="auto"/>
                <w:kern w:val="0"/>
                <w:sz w:val="21"/>
                <w:szCs w:val="21"/>
                <w:highlight w:val="none"/>
                <w:lang w:val="en-US" w:eastAsia="zh-CN"/>
              </w:rPr>
              <w:t>是否缺失。</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检查各个活动部件。</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检查减速器油面，</w:t>
            </w:r>
            <w:r>
              <w:rPr>
                <w:rFonts w:hint="eastAsia" w:ascii="宋体" w:hAnsi="宋体" w:eastAsia="宋体" w:cs="宋体"/>
                <w:color w:val="auto"/>
                <w:kern w:val="0"/>
                <w:sz w:val="21"/>
                <w:szCs w:val="21"/>
                <w:highlight w:val="none"/>
              </w:rPr>
              <w:t>油液应在油标刻度线中间</w:t>
            </w:r>
            <w:r>
              <w:rPr>
                <w:rFonts w:hint="eastAsia" w:ascii="宋体" w:hAnsi="宋体" w:eastAsia="宋体" w:cs="宋体"/>
                <w:color w:val="auto"/>
                <w:kern w:val="0"/>
                <w:sz w:val="21"/>
                <w:szCs w:val="21"/>
                <w:highlight w:val="none"/>
                <w:lang w:eastAsia="zh-CN"/>
              </w:rPr>
              <w:t>。</w:t>
            </w:r>
          </w:p>
        </w:tc>
        <w:tc>
          <w:tcPr>
            <w:tcW w:w="26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atLeast"/>
        </w:trPr>
        <w:tc>
          <w:tcPr>
            <w:tcW w:w="141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检查机械部件</w:t>
            </w:r>
          </w:p>
        </w:tc>
        <w:tc>
          <w:tcPr>
            <w:tcW w:w="21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1．检查吊钩滑轮组、卷筒组、吊具</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2．检查制动器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3．检查减速器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4．检查联轴器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5．检查车轮及角型轴承座</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6．检查水平滚轮及垂直滚轮</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7．检查各传动件及支承件</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8．性能检查</w:t>
            </w:r>
          </w:p>
        </w:tc>
        <w:tc>
          <w:tcPr>
            <w:tcW w:w="3594"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1．钢丝绳绳端压紧螺栓及绳夹应齐全；吊钩横梁、滑轮轴应无裂纹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2．制动轮工作表面应光滑，制动瓦块衬垫与制动轮的接触面积应在70％以上，松闸后间隙适当；制动瓦块衬垫磨损量不得超过原厚度的50％，弹簧不得有永久变形或裂纹。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3．打开视孔盖，检查齿轮及油质状况。齿轮应啮合良好，油质清洁无杂质，箱体无裂纹</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4．检查轴线偏斜及轴向安装位置和弹性联轴器的弹性</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5．检查大小车轮运行状况，</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啃道现象。角型轴承座应无裂纹，螺栓齐全，不动松。</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6．滚轮应转动灵活，无严重滑移现象</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7．无裂损、开焊和显著变形</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8．各部运转平稳，无异响、异状；制动性能可靠；轴承音响正常均匀，其温度（工作时）不应超过80℃</w:t>
            </w:r>
          </w:p>
        </w:tc>
        <w:tc>
          <w:tcPr>
            <w:tcW w:w="26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7" w:hRule="atLeast"/>
        </w:trPr>
        <w:tc>
          <w:tcPr>
            <w:tcW w:w="141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检查金属</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结构</w:t>
            </w:r>
          </w:p>
        </w:tc>
        <w:tc>
          <w:tcPr>
            <w:tcW w:w="21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检查金属结构的主要承力件及焊缝</w:t>
            </w:r>
          </w:p>
        </w:tc>
        <w:tc>
          <w:tcPr>
            <w:tcW w:w="3594"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构件无显著变形，基本金属和连接焊缝均应无裂纹，连接螺栓无松动及脱落现象。</w:t>
            </w:r>
          </w:p>
        </w:tc>
        <w:tc>
          <w:tcPr>
            <w:tcW w:w="26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43" w:hRule="atLeast"/>
        </w:trPr>
        <w:tc>
          <w:tcPr>
            <w:tcW w:w="141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检查</w:t>
            </w:r>
            <w:r>
              <w:rPr>
                <w:rFonts w:hint="eastAsia" w:ascii="宋体" w:hAnsi="宋体" w:eastAsia="宋体" w:cs="宋体"/>
                <w:color w:val="auto"/>
                <w:kern w:val="0"/>
                <w:sz w:val="21"/>
                <w:szCs w:val="21"/>
                <w:highlight w:val="none"/>
                <w:lang w:val="en-US" w:eastAsia="zh-CN"/>
              </w:rPr>
              <w:t>电机</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（专项）</w:t>
            </w:r>
          </w:p>
        </w:tc>
        <w:tc>
          <w:tcPr>
            <w:tcW w:w="21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1．检查电动机</w:t>
            </w:r>
          </w:p>
        </w:tc>
        <w:tc>
          <w:tcPr>
            <w:tcW w:w="3594"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机壳外表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电动机运转平稳，无异常振动及异响，温升正常</w:t>
            </w:r>
            <w:r>
              <w:rPr>
                <w:rFonts w:hint="eastAsia" w:ascii="宋体" w:hAnsi="宋体" w:eastAsia="宋体" w:cs="宋体"/>
                <w:color w:val="auto"/>
                <w:kern w:val="0"/>
                <w:sz w:val="21"/>
                <w:szCs w:val="21"/>
                <w:highlight w:val="none"/>
                <w:lang w:eastAsia="zh-CN"/>
              </w:rPr>
              <w:t>。</w:t>
            </w:r>
          </w:p>
        </w:tc>
        <w:tc>
          <w:tcPr>
            <w:tcW w:w="26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97" w:hRule="atLeast"/>
        </w:trPr>
        <w:tc>
          <w:tcPr>
            <w:tcW w:w="141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检查电气部件</w:t>
            </w:r>
          </w:p>
        </w:tc>
        <w:tc>
          <w:tcPr>
            <w:tcW w:w="21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．清洁、检查主令控制器和凸轮控制器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．检查接触器、继电器、电磁铁和限位器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．检查电阻器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．检查熔断器</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．照明、音响及供电装置</w:t>
            </w:r>
          </w:p>
        </w:tc>
        <w:tc>
          <w:tcPr>
            <w:tcW w:w="3594"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内部灰尘和杂物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动、静触头应接触良好，在宽度方向的结合长度应大于3／4，其蚀损量不得大于原厚度的40％；各弹簧无断裂及永久变形，其压力应适中</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操作时，各档定位明确、轻便</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检查</w:t>
            </w:r>
            <w:r>
              <w:rPr>
                <w:rFonts w:hint="eastAsia" w:ascii="宋体" w:hAnsi="宋体" w:eastAsia="宋体" w:cs="宋体"/>
                <w:color w:val="auto"/>
                <w:kern w:val="0"/>
                <w:sz w:val="21"/>
                <w:szCs w:val="21"/>
                <w:highlight w:val="none"/>
              </w:rPr>
              <w:t>触头、烧蚀斑点，触头应接触良好，压力适中。灭弧罩应齐全良好，轴销无松动现象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工作时，吸合、分断准确，无卡滞、抖动现象，复位良好，无异常噪音</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．表面无脏物、无锈蚀、螺栓连结不松动，引线连接良好。电阻片、电阻丝无断裂现象</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．熔体容量应选择正确，不得以铜丝或其它金属代替</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．照明、音响装置齐全、良好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集电器应接触良好，接触面积应大于75％，运行时无严重火花。引线应连接良好无异状，橡套电缆和导线应无破损</w:t>
            </w:r>
          </w:p>
        </w:tc>
        <w:tc>
          <w:tcPr>
            <w:tcW w:w="26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当班驾驶员</w:t>
      </w:r>
      <w:r>
        <w:rPr>
          <w:rFonts w:hint="eastAsia" w:ascii="宋体" w:hAnsi="宋体" w:eastAsia="宋体" w:cs="宋体"/>
          <w:b w:val="0"/>
          <w:bCs/>
          <w:color w:val="auto"/>
          <w:kern w:val="0"/>
          <w:sz w:val="24"/>
          <w:szCs w:val="24"/>
          <w:highlight w:val="none"/>
          <w:lang w:val="en-US" w:eastAsia="zh-CN"/>
        </w:rPr>
        <w:t xml:space="preserve">（签字）：         </w:t>
      </w:r>
      <w:r>
        <w:rPr>
          <w:rFonts w:hint="eastAsia" w:ascii="宋体"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lang w:val="en-US" w:eastAsia="zh-CN"/>
        </w:rPr>
        <w:t xml:space="preserve">    维保厂家（签字）：</w:t>
      </w:r>
    </w:p>
    <w:p>
      <w:p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720" w:lineRule="exact"/>
        <w:ind w:firstLine="880" w:firstLineChars="200"/>
        <w:textAlignment w:val="auto"/>
        <w:rPr>
          <w:rFonts w:hint="eastAsia" w:ascii="宋体" w:hAnsi="宋体" w:eastAsia="宋体" w:cs="宋体"/>
          <w:b/>
          <w:color w:val="auto"/>
          <w:kern w:val="0"/>
          <w:sz w:val="28"/>
          <w:szCs w:val="28"/>
          <w:highlight w:val="none"/>
        </w:rPr>
      </w:pPr>
      <w:r>
        <w:rPr>
          <w:rFonts w:hint="eastAsia" w:ascii="方正小标宋_GBK" w:hAnsi="方正小标宋_GBK" w:eastAsia="方正小标宋_GBK" w:cs="方正小标宋_GBK"/>
          <w:b w:val="0"/>
          <w:bCs/>
          <w:color w:val="auto"/>
          <w:kern w:val="0"/>
          <w:sz w:val="44"/>
          <w:szCs w:val="44"/>
          <w:highlight w:val="none"/>
          <w:lang w:eastAsia="zh-CN"/>
        </w:rPr>
        <w:t>轨道式集装箱门式起重机</w:t>
      </w:r>
      <w:r>
        <w:rPr>
          <w:rFonts w:hint="eastAsia" w:ascii="方正小标宋_GBK" w:hAnsi="方正小标宋_GBK" w:eastAsia="方正小标宋_GBK" w:cs="方正小标宋_GBK"/>
          <w:b w:val="0"/>
          <w:bCs/>
          <w:color w:val="auto"/>
          <w:kern w:val="0"/>
          <w:sz w:val="44"/>
          <w:szCs w:val="44"/>
          <w:highlight w:val="none"/>
        </w:rPr>
        <w:t>一级保养项目</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表1  起重机起升机构检查项目、内容及判定标准</w:t>
      </w:r>
    </w:p>
    <w:tbl>
      <w:tblPr>
        <w:tblStyle w:val="18"/>
        <w:tblW w:w="9050"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1730"/>
        <w:gridCol w:w="3550"/>
        <w:gridCol w:w="3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490"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检查项目</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检查内容</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6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制动器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机械制动器</w:t>
            </w:r>
          </w:p>
        </w:tc>
        <w:tc>
          <w:tcPr>
            <w:tcW w:w="355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检查油量是否适合，是否漏油；机架有无裂纹与开裂：棘爪和棘轮啮合状态是否有异常、损坏、磨损；齿轮是否有损伤、裂纹与磨损：机架安装是否有松动或脱落：油液是否清洁</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油量合适，不漏油；无裂纹与开裂；下降时可靠啮合，无裂纹、损坏与明显磨损；齿轮无磨损；齿轮无磨损，啮合正常；机架无松动、脱落；油液</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无明显污染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卷筒装配</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卷筒</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检查有无裂纹、变形与磨损:钢丝绳固定部分有无异常:钢丝绳脱槽痕迹，卷筒安装连接紧固</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无裂纹、无明显变形与磨损:正常:无脱槽痕迹。无松动、脱落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轴和轴承</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检查有无裂纹、变形、磨损;轴端挡板有无变形与松动。转动卷筒了，检查轴承有无异常杂音、发热与振动;润滑情况</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无裂纹、明显变形与磨损;无变形松动、无异常振动、发声、发热;润滑良好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trPr>
        <w:tc>
          <w:tcPr>
            <w:tcW w:w="76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滑轮组</w:t>
            </w: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滑轮</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检查有无裂纹、缺损、磨损;槽绳有无异常;有无钢丝绳脱槽痕迹;压板及定位销轴是否松脱</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无裂纹、明显变形与磨损;无异常磨损;无脱落痕迹;无松脱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轴及轴承绳档、平衡滑轮等</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检查有无裂纹及磨损;润滑情况;转动滑轮，有无声响和回转质量偏心，检查脱槽、脱落、变形、裂纹</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无裂纹、明显磨损;无异常声响和质量偏心</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无脱落、脱槽、变形、裂纹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6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钢丝绳</w:t>
            </w: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钢丝绳结构等</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检查钢丝绳有无断丝、断股、露芯、扭结、腐蚀、湾折、松散、磨损;高温环境使用钢丝绳应检查结构是否正确;尾端加工及固定是否正确:有无跳槽现象;有无附着尘、沙子、杂质、水分</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1个捻距不得有10%以上的断丝，绳径不得小于公称尺寸93%。不得有缺陷，且固定牢靠;无跳槽;不粘沙子、尘土及杂质、水分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钢丝绳状态</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检查钢丝绳是否月结构碰撞；与各滑轮的借差状态</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不得碰撞；不得有明显的磨损、压偏、松散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钢丝绳安装使用</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检查吊钩有无裂纹、变形与磨损:转动吊钩。轴承及螺纹部位有无异常声响:;钩口有无异常变形;轴承等润滑情况</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无裂纹、明显变形与磨损;转动平稳、无异常声响;无异常变形:润滑良好。给油适量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trPr>
        <w:tc>
          <w:tcPr>
            <w:tcW w:w="76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吊具</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吊钩</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检查吊钩有无裂纹、变形与磨损;转动吊钩。轴承及螺纹部位有无异常声响:;钩口有无异常变形;轴承等润滑情况</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无裂纹、明显变形与磨损;转动平稳、无异常声响;无异常变形;润滑良好。给油适量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葫芦版、连接件</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检查葫芦板、连接件的紧固，要求无松脱:销、轴、侧板无变形:钢丝绳防脱装置功能正常。无裂纹、变形:吊钩组无磨损、变形</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紧固可靠、安全、无松脱;无变形:功能正常且无变形、裂纹;无磨损、变形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抓斗、抓梁</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所有结构与零件无变形、裂纹;转动件运动灵活;斗口闭合严密， 无明显磨损</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无变形、裂纹;转动灵活;抓散粒物料无严重渗漏、磨损正常</w:t>
            </w:r>
          </w:p>
        </w:tc>
      </w:tr>
    </w:tbl>
    <w:p>
      <w:pPr>
        <w:widowControl/>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both"/>
        <w:textAlignment w:val="center"/>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表2 起重机和小车运行机构检查项目、内容、判定标准</w:t>
      </w:r>
    </w:p>
    <w:tbl>
      <w:tblPr>
        <w:tblStyle w:val="18"/>
        <w:tblW w:w="9070" w:type="dxa"/>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2080"/>
        <w:gridCol w:w="3510"/>
        <w:gridCol w:w="3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560"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检查项目</w:t>
            </w:r>
          </w:p>
        </w:tc>
        <w:tc>
          <w:tcPr>
            <w:tcW w:w="35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检查内容</w:t>
            </w:r>
          </w:p>
        </w:tc>
        <w:tc>
          <w:tcPr>
            <w:tcW w:w="300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4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w:t>
            </w: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安装底座</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安装底座无裂纹；连接无松动、脱落</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无裂纹、无松动或脱落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8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键和键槽</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检查键有无松动、出槽及变形</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检查键槽有无裂纹及变形</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无松动、出槽及明显变形</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无裂纹及明显变形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bottom"/>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橡胶联轴器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检查变形与磨损程度</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不得有超过报废极限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齿形联轴器</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检查润滑情况，是否漏油</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是否有异常响声</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给油适当，不漏油</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无异常声响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48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螺栓及螺母</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检查螺栓、螺母有无松动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与脱落</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无松动与脱落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液压制动器</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检查液压高度及有无漏油</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检查工作缸的功能、损伤、泄漏</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油量适当，无泄漏</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动作正常，不得有损伤和泄漏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推杆制动器</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检查推杆有无弯曲变形、油量、泄漏</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不得有明显变形，无松动与脱落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液压圆盘</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制动器</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检查油量及漏油情况，连接与紧固件安装</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油量适当，无漏油，无松动与脱落，动作正确，部件不得有严重磨损或损伤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制动轮与制动瓦</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检查制动轮安装件有无松脱，摩擦片有无剥落、损伤及偏磨;弹簀是否老化，制动轮有无裂纹、磨损及缺损;制动间隙是否合适</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无松动;无剥落、损伤及偏磨:无老化;无裂纹、损伤，磨损正常;制动间隙合乎要求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行程和制动力矩调节机构</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检查行程和制动力矩调节机构有无异常;拉杆、销轴、杠杆及螺栓有无裂纹、弯曲变形与磨损</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调节器适当，动作平稳:无裂纹、变形及明显磨损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安装螺栓</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检查螺栓、螺母与销轴有无松动</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48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减</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速</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齿轮箱体</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检查有无裂纹、变形及损伤:安装连接有无松动与脱落:油量、油品、油质;漏油</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无裂纹、明显变形与损伤、无松动与脱落;油量适当，无污染;无漏油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齿轮</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检查有无异常声响、发热和振动:齿面有无磨损及损伤;轮毂、轮盘、轮齿有无裂纹，变形及损伤:键有无松动、出槽及变形将;键槽有无裂纹与变形;轮齿接触和啮合状态有无异常;润滑情况</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检查有无异常声响、发热和振动:齿面有无磨损及损伤;轮毂、轮盘、轮齿有无裂纹，变形及损伤:键有无松动、出槽及变形将;键槽有无裂纹与变形;轮齿接触和啮合状态有无异常;润滑情况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齿轮罩壳</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检查有无裂纹、变形与损伤；连接与安装有无松动</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无裂纹、明显变形与损伤；无松脱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转轴、心轴、传动轴</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检查有无变形与磨损:转动轴是否有振摆;键及键槽松动、变形、裂纹</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无变形和明显磨损;无明显振摆;无松动、变形、裂纹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48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轴承装配</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滚动轴承</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检查有无裂纹与损伤;润滑状况</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检查在空载和负载工况下有无异常振动、发热、噪声</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无裂纹、损伤;润滑良好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无异常振动、噪声和明显的发热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滑动轴承</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检查轴承有无磨损;在空载和负载T况下是否烧损及发热</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无明显磨损;不得有烧损或明显升徒变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48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车</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轮</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w:t>
            </w: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轮缘</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检查有无裂纹、缺蚀、变形、磨损</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无裂纹缺蚀、明显变形、磨损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轮毂及轮盘</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检查有无裂纹、变形、磨损、损伤</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无裂纹、明显变形、磨损、损伤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车轮踏面</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检查踏面有无磨损:主动车轮以及从动车轮直径误差;坚持裂纹、变形、踏面表面剥落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无明显磨损:轮径误差值应符合相应标准;无裂纹与变形:无剥落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轮毂内轴承</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检查滑动轴承的润滑情况;空载和负载工况时的异常振动、噪声、温升</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无异常</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车轮轮毂与锻梁侧板之间的贴板</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检查有无摩擦、磨损；装配精度</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无摩擦、磨损、安装良好</w:t>
            </w:r>
          </w:p>
        </w:tc>
      </w:tr>
    </w:tbl>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r>
        <w:rPr>
          <w:rFonts w:hint="eastAsia" w:ascii="宋体" w:hAnsi="宋体" w:eastAsia="宋体" w:cs="宋体"/>
          <w:color w:val="auto"/>
          <w:kern w:val="0"/>
          <w:sz w:val="22"/>
          <w:szCs w:val="22"/>
          <w:highlight w:val="none"/>
        </w:rPr>
        <w:br w:type="page"/>
      </w:r>
      <w:r>
        <w:rPr>
          <w:rFonts w:hint="eastAsia" w:ascii="方正黑体_GBK" w:hAnsi="方正黑体_GBK" w:eastAsia="方正黑体_GBK" w:cs="方正黑体_GBK"/>
          <w:color w:val="auto"/>
          <w:kern w:val="0"/>
          <w:sz w:val="32"/>
          <w:szCs w:val="32"/>
          <w:highlight w:val="none"/>
        </w:rPr>
        <w:t>表3 轨道检查项目、内容及判定标准</w:t>
      </w:r>
    </w:p>
    <w:tbl>
      <w:tblPr>
        <w:tblStyle w:val="18"/>
        <w:tblW w:w="9212"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970"/>
        <w:gridCol w:w="3520"/>
        <w:gridCol w:w="2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702"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检查项目</w:t>
            </w:r>
          </w:p>
        </w:tc>
        <w:tc>
          <w:tcPr>
            <w:tcW w:w="352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检查内容</w:t>
            </w:r>
          </w:p>
        </w:tc>
        <w:tc>
          <w:tcPr>
            <w:tcW w:w="299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732"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轨道</w:t>
            </w: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钢轨</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检查有无裂纹、头部下陷、变形、侧面磨损</w:t>
            </w:r>
          </w:p>
        </w:tc>
        <w:tc>
          <w:tcPr>
            <w:tcW w:w="299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无裂纹、明显下陷、变形及严重磨损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钢轨紧固螺栓</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检查连接螺栓有无松动及脱落</w:t>
            </w:r>
          </w:p>
        </w:tc>
        <w:tc>
          <w:tcPr>
            <w:tcW w:w="299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不得有松动与脱落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连接板及垫板</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检查连接螺栓有无松动、脱落:连接板和垫板有无移位、缺陷或脱落</w:t>
            </w:r>
          </w:p>
        </w:tc>
        <w:tc>
          <w:tcPr>
            <w:tcW w:w="299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无松动脱落;不得有移位、缺陷及脱落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缓冲器及车档</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检查有无损伤及错位:安装有无松动、脱落</w:t>
            </w:r>
          </w:p>
        </w:tc>
        <w:tc>
          <w:tcPr>
            <w:tcW w:w="299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无损伤、错位；无松动、脱落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钢轨接头</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检查焊缝有无裂纹与开裂</w:t>
            </w:r>
          </w:p>
        </w:tc>
        <w:tc>
          <w:tcPr>
            <w:tcW w:w="299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不得有裂纹、开裂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钢轨焊接安装</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检查焊缝有无裂纹与开裂</w:t>
            </w:r>
          </w:p>
        </w:tc>
        <w:tc>
          <w:tcPr>
            <w:tcW w:w="299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不得有裂纹、开裂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几何尺寸误差</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检查轨道，轨道中心线、轨顶高等偏少</w:t>
            </w:r>
          </w:p>
        </w:tc>
        <w:tc>
          <w:tcPr>
            <w:tcW w:w="299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各偏差应不得超过规定值</w:t>
            </w:r>
          </w:p>
        </w:tc>
      </w:tr>
    </w:tbl>
    <w:p>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2"/>
          <w:szCs w:val="22"/>
          <w:highlight w:val="none"/>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表4起重机电气、 控制系统检查项目、内容、判定标准</w:t>
      </w:r>
    </w:p>
    <w:tbl>
      <w:tblPr>
        <w:tblStyle w:val="18"/>
        <w:tblW w:w="9123" w:type="dxa"/>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720"/>
        <w:gridCol w:w="1596"/>
        <w:gridCol w:w="17"/>
        <w:gridCol w:w="2973"/>
        <w:gridCol w:w="17"/>
        <w:gridCol w:w="2833"/>
        <w:gridCol w:w="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397" w:hRule="atLeast"/>
        </w:trPr>
        <w:tc>
          <w:tcPr>
            <w:tcW w:w="3266" w:type="dxa"/>
            <w:gridSpan w:val="3"/>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检查项目</w:t>
            </w:r>
          </w:p>
        </w:tc>
        <w:tc>
          <w:tcPr>
            <w:tcW w:w="2990"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检查内容</w:t>
            </w:r>
          </w:p>
        </w:tc>
        <w:tc>
          <w:tcPr>
            <w:tcW w:w="2850"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60" w:hRule="atLeast"/>
        </w:trPr>
        <w:tc>
          <w:tcPr>
            <w:tcW w:w="95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电动机</w:t>
            </w: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绕组</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检查绝缘电阻；有无发热</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绝缘电阻值规定范围内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10" w:hRule="atLeast"/>
        </w:trPr>
        <w:tc>
          <w:tcPr>
            <w:tcW w:w="95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轴承</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检查润滑情况与异常响声</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润滑良好和无异常声响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016" w:hRule="atLeast"/>
        </w:trPr>
        <w:tc>
          <w:tcPr>
            <w:tcW w:w="95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集电装置</w:t>
            </w: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滑线及滑车轨道</w:t>
            </w: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电源滑线、集电轨道</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检查有无变形、磨损、损伤;张紧装置动作是否正常;滑线与滑块的接触情况:绝缘子支承有无松脱</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无明显变形、磨损、损伤;张紧正常;接触良好;无松脱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8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壳、盖、罩子</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检查有无损伤与变形:防触电装置是否正常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无损伤与明显变形;与滑线有足够问距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97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绝缘集</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电器</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检查绝缘集电器的接线有无异常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电缆心线、接头及外壳要可靠连接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945"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绝缘子</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检查有无脱落与松动、破裂与污垢</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连接无脱落松动、破裂与污垢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1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集电器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机械部分</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检查有无磨损与损伤;润滑是否良好</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无明显磨损、损伤;  润滑良好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24"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弹簧</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检查有无变形、腐蚀及疲劳损伤</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无变形、无明显腐蚀及疲劳损伤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5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接地与绝缘</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检查接线有无断线，绝缘子是否破损、污秽</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无断线或破损、污秽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657"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接头螺栓</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检查紧固部分有无松动脱落</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无松动脱落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07"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bottom"/>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供电电缆</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绝缘层</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检查有无损伤</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5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bottom"/>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联接处</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检查紧固部分有无松动与脱落</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07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bottom"/>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电缆及导向装置</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检查电缆拉伸部分有无弯曲、扭曲及损伤:电缆导向装置动作情况</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无弯曲、扭曲及损伤情况;动作平稳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56" w:hRule="atLeast"/>
        </w:trPr>
        <w:tc>
          <w:tcPr>
            <w:tcW w:w="95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电气元器件控制系统</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电气元器件控制系统</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开关</w:t>
            </w: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开关、接触部分与保险器</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检查开关动作有无异常、外形有无破损;接触部分铰链和夹子的压力是否适合;保险器安装及容量是否合适</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动作正常、无破损;接触压力适当，安装正确，容量合适</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0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接触器</w:t>
            </w: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触头</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检查触头接触压力及接触面破损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接触面无间隙及脱开时彻底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9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可动铁芯</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检查铁芯吸合面有无附着物:工作时有无异常声响，屏蔽线圈有无断线:检查限位块有无磨损及损伤:断路时有无问隙</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无附着物;无异常声响或断线:无明显磨损及损伤;无问隙</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25"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紧固件</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检查紧固部分有无松动</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9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时间继电器</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检查其限时功能</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限时准确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2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接触片</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检查接触面有无损坏及磨损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无明显损坏与磨损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9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操作机构及操作实验</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用手操作，检查动作状态</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动作要正常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内部配线</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检查连接端了连接情况:配线及绝缘有无污损、劣化;电线引入管口有无异常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无松动脱落:无损伤、污染及劣化:无损伤或明显劣化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0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紧固连接</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检查紧固件有无松脱</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61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触电保护装置</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检查触电保护装置有无异常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设备无破损、脱落、变形、劣化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63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控制操作开关</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动作状态</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检查动作状态是否正常;零位限制器及手柄动作是否正常</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动作平稳;限制器和手柄停止位置要牢靠</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24"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离合片及离合辊</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检查接触压力;紧固件有无松动;离合辊润滑情况</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接触时完全，脱离时彻底;无松动;给油正常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3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轴承</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及齿轮</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检查润滑情况</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给油适量，润滑正常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357"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接触片及触头</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检查接触面有无破坏及磨损;接触片接触深度</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无明显破坏磨损;应完全接触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7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绝缘棒</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检查有无裂纹、污损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无裂纹与明显污损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62"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动作方向显示板</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检查有无损伤及污染</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显示明显，无明显污损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5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电线引入</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检查电线引入管口有无异常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无损伤或明显劣化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09"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悬垂开关</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检查动作情况;有无损伤、污染;如为金属外壳,检查外壳与地线有无松动;橡套电缆是否承受不必要的外力;外壳、盖、悬垂保护装置有无异常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动作正常;无损伤与污染;无松动;无额外受力;无破损</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电阻器</w:t>
            </w:r>
          </w:p>
        </w:tc>
        <w:tc>
          <w:tcPr>
            <w:tcW w:w="1613"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端子</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检查紧固件有无松动</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613"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电阻片</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检查有无裂纹、损伤;各片问有无接触;有无松动:端子附近接线及绝缘是否过热烧损:绝缘体上是否积尘</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无裂纹、损伤:无接触;无松动:无烧坏;不得堆积粉尘</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613"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绝缘子</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检查有无破裂、污损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无破裂与明显污损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613"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连接紧固</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检查紧固件有无松动</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35" w:hRule="atLeast"/>
        </w:trPr>
        <w:tc>
          <w:tcPr>
            <w:tcW w:w="95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线路及通讯</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机内照明</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检查保护层有无损伤:有无过紧、扭曲、线夹松动现象</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无损伤;不应过紧，扭曲、松动等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606" w:hRule="atLeast"/>
        </w:trPr>
        <w:tc>
          <w:tcPr>
            <w:tcW w:w="95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照明及信号灯</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检查照明亮度是否合适;接头部分有无松动;紧固件是否松动;灯泡和防护装置有无破损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确保仪表和操作部分有充足的亮度;无松动;无松动;无破损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23" w:hRule="atLeast"/>
        </w:trPr>
        <w:tc>
          <w:tcPr>
            <w:tcW w:w="95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通讯装置</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检查通话设施功能</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要求通话正常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08" w:hRule="atLeast"/>
        </w:trPr>
        <w:tc>
          <w:tcPr>
            <w:tcW w:w="95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电路绝缘电阻</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测定配电电路各支路绝缘电阻有无异常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绝缘电阻值应在规定的范围之内</w:t>
            </w:r>
          </w:p>
        </w:tc>
      </w:tr>
    </w:tbl>
    <w:p>
      <w:pPr>
        <w:keepNext w:val="0"/>
        <w:keepLines w:val="0"/>
        <w:pageBreakBefore w:val="0"/>
        <w:widowControl w:val="0"/>
        <w:kinsoku/>
        <w:wordWrap/>
        <w:overflowPunct/>
        <w:topLinePunct w:val="0"/>
        <w:autoSpaceDE/>
        <w:autoSpaceDN/>
        <w:bidi w:val="0"/>
        <w:adjustRightInd/>
        <w:snapToGrid/>
        <w:spacing w:line="720" w:lineRule="exact"/>
        <w:ind w:firstLine="562" w:firstLineChars="200"/>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br w:type="page"/>
      </w:r>
      <w:r>
        <w:rPr>
          <w:rFonts w:hint="eastAsia" w:ascii="方正小标宋_GBK" w:hAnsi="方正小标宋_GBK" w:eastAsia="方正小标宋_GBK" w:cs="方正小标宋_GBK"/>
          <w:b w:val="0"/>
          <w:bCs/>
          <w:color w:val="auto"/>
          <w:kern w:val="0"/>
          <w:sz w:val="44"/>
          <w:szCs w:val="44"/>
          <w:highlight w:val="none"/>
          <w:lang w:eastAsia="zh-CN"/>
        </w:rPr>
        <w:t>轨道式集装箱门式起重机</w:t>
      </w:r>
      <w:r>
        <w:rPr>
          <w:rFonts w:hint="eastAsia" w:ascii="方正小标宋_GBK" w:hAnsi="方正小标宋_GBK" w:eastAsia="方正小标宋_GBK" w:cs="方正小标宋_GBK"/>
          <w:b w:val="0"/>
          <w:bCs/>
          <w:color w:val="auto"/>
          <w:kern w:val="0"/>
          <w:sz w:val="44"/>
          <w:szCs w:val="44"/>
          <w:highlight w:val="none"/>
        </w:rPr>
        <w:t>二级保养项目</w:t>
      </w:r>
    </w:p>
    <w:p>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center"/>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表1  起重机起升机构检查项目、内容及判定标准</w:t>
      </w:r>
    </w:p>
    <w:tbl>
      <w:tblPr>
        <w:tblStyle w:val="18"/>
        <w:tblW w:w="9050"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1730"/>
        <w:gridCol w:w="3550"/>
        <w:gridCol w:w="3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490"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检查项目</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检查内容</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实施标准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6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制动器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机械制动器</w:t>
            </w:r>
          </w:p>
        </w:tc>
        <w:tc>
          <w:tcPr>
            <w:tcW w:w="355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检查油量是否适合，是否漏油；机架有无裂纹与开裂：棘爪和棘轮啮合状态是否有异常、损坏、磨损；齿轮是否有损伤、裂纹与磨损：机架安装是否有松动或脱落：油液是否清洁</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制动部分油罐更换液压油，检查制动瓦块是否磨损严重，如发现裂纹或超过原本厚度1/3处立即更换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卷筒装配</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卷筒</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检查有无裂纹、变形与磨损:钢丝绳固定部分有无异常:钢丝绳脱槽痕迹，卷筒安装连接紧固</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卷筒安装连接紧固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轴和轴承</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检查有无裂纹、变形、磨损;轴端挡板有无变形与松动。转动卷筒了，检查轴承有无异  常杂音、发热与振动;润滑情况</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各个链接轴处检查加注黄油。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trPr>
        <w:tc>
          <w:tcPr>
            <w:tcW w:w="76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滑轮组</w:t>
            </w: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滑轮</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检查有无裂纹、缺损、磨损;槽绳有无异常;有无钢丝绳脱槽痕迹;压板及定位销轴是否松脱</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用放大镜检查滑轮是否有裂纹，开焊及磨损程度，并在销轴一端加注黄油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轴及轴承绳档、平衡滑轮等</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检查有无裂纹及磨损;润滑情况;转动滑轮，有无声响和回转质量偏心，检查脱槽、脱落、变形、裂纹</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检查是否有明显磨损;无异常声响和质量偏心无脱落、脱槽、变形、裂纹并依次加注黄油。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6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钢丝绳</w:t>
            </w: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钢丝绳结构等</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检查钢丝绳有无断丝、断股、露芯、扭结、腐蚀、湾折、松散、磨损;高温环境使用钢丝绳应检查结构是否正确;尾端加工及固定是否正确:有无跳槽现象;有无附着尘、沙子、  杂质、水分</w:t>
            </w:r>
          </w:p>
        </w:tc>
        <w:tc>
          <w:tcPr>
            <w:tcW w:w="301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检查1个捻距不得有10%以上的断丝，绳径不得小于公称尺寸93%。不得有缺陷，且固定牢靠;无跳槽;清理沙子、尘土及杂质。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紧固卷筒压板以防松动钢丝绳脱落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钢丝绳状态</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检查钢丝绳是否月结构碰撞；与各滑轮的借差状态</w:t>
            </w:r>
          </w:p>
        </w:tc>
        <w:tc>
          <w:tcPr>
            <w:tcW w:w="301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钢丝绳安装使用</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检查吊钩有无裂纹、变形与磨损:转动吊钩。轴承及螺纹部位有无异常声响:;钩口有无异常变形;轴承等润滑情况</w:t>
            </w:r>
          </w:p>
        </w:tc>
        <w:tc>
          <w:tcPr>
            <w:tcW w:w="301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trPr>
        <w:tc>
          <w:tcPr>
            <w:tcW w:w="76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吊具</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吊钩</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检查吊钩有无裂纹、变形与磨损;转动吊钩。轴承及螺纹部位有无异常声响:;钩口有无异常变形;轴承等润滑情况</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无裂纹、明显变形与磨损;转动平稳、无异常声响;无异常变形;润滑良好。给油适量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trPr>
        <w:tc>
          <w:tcPr>
            <w:tcW w:w="76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73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抓梁</w:t>
            </w:r>
          </w:p>
        </w:tc>
        <w:tc>
          <w:tcPr>
            <w:tcW w:w="355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所有结构与零件无变形、裂纹;转动件运动灵活;斗口闭合严密， 无明显磨损</w:t>
            </w:r>
          </w:p>
        </w:tc>
        <w:tc>
          <w:tcPr>
            <w:tcW w:w="30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无变形、裂纹;转动灵活;抓散粒物料无严重渗漏、磨损正常。定期清洗油缸并加注新液压油。</w:t>
            </w:r>
          </w:p>
        </w:tc>
      </w:tr>
    </w:tbl>
    <w:p>
      <w:pPr>
        <w:widowControl/>
        <w:jc w:val="center"/>
        <w:textAlignment w:val="center"/>
        <w:rPr>
          <w:rFonts w:hint="eastAsia" w:ascii="宋体" w:hAnsi="宋体" w:eastAsia="宋体" w:cs="宋体"/>
          <w:color w:val="auto"/>
          <w:kern w:val="0"/>
          <w:sz w:val="22"/>
          <w:szCs w:val="22"/>
          <w:highlight w:val="none"/>
        </w:rPr>
      </w:pPr>
    </w:p>
    <w:p>
      <w:pPr>
        <w:widowControl/>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表2 起重机和小车运行机构检查项目、内容、实施标准</w:t>
      </w:r>
    </w:p>
    <w:tbl>
      <w:tblPr>
        <w:tblStyle w:val="18"/>
        <w:tblW w:w="9070" w:type="dxa"/>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2080"/>
        <w:gridCol w:w="3510"/>
        <w:gridCol w:w="3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560"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检查项目</w:t>
            </w:r>
          </w:p>
        </w:tc>
        <w:tc>
          <w:tcPr>
            <w:tcW w:w="351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检查内容</w:t>
            </w:r>
          </w:p>
        </w:tc>
        <w:tc>
          <w:tcPr>
            <w:tcW w:w="300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实施标准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4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w:t>
            </w: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安装底座</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安装底座无裂纹；连接无松动、脱落</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紧固底座螺丝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8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键和键槽</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检查键有无松动、出槽及变形</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检查键槽有无裂纹及变形</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bottom"/>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橡胶联轴器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检查变形与磨损程度</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检查是否超过报废极限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齿形联轴器</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检查润滑情况，是否漏油</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是否有异常响声</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加注黄油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48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螺栓及螺母</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检查螺栓、螺母有无松动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与脱落</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紧固螺丝，以防松动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液压制动器</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检查液压高度及有无漏油</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检查工作缸的功能、损伤、泄漏</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释放旧液压油，加注新油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推杆制动器</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检查推杆有无弯曲变形、油量、泄漏</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液压圆盘</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制动器</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检查油量及漏油情况，连接与紧固件安装</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紧固螺丝，以防松动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制动轮与制动瓦</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检查制动轮安装件有无松脱，摩擦片有无剥落、损伤及偏磨;弹簀是否老化，制动轮有无裂纹、磨损及缺损;制动间隙是否合适</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如有开裂、松动或磨损严重予以更换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行程和制动力矩调节机构</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检查行程和制动力矩调节机构有无异常;拉杆、销轴、杠杆及螺栓有无裂纹、弯曲变形与磨损</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适当调节器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安装螺栓</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检查螺栓、螺母与销轴有无松动</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用力矩扳手紧固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48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减</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速</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齿轮箱体</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检查有无裂纹、变形及损伤:安装连接有无松动与脱落:油量、油品、油质;漏油</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清理检查及加注新齿轮油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齿轮</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检查有无异常声响、发热和振动:齿面有无磨损及损伤;轮毂、轮盘、轮齿有无裂纹，变形及损伤:键有无松动、出槽及变形将;键槽有无裂纹与变</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形;轮齿接触和啮合状态有无异常;润滑情况</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清理检查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齿轮罩壳</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检查有无裂纹、变形与损伤；连接与安装有无松动</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转轴、心轴、传动轴</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检查有无变形与磨损:转动轴是否有振摆;键及键槽松动、变形、裂纹</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检查是否变形和明显磨损;要无明显振摆;无松动、变形、裂纹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48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轴承装配</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滚动轴承</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检查有无裂纹与损伤;润滑状况</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检查在空载和负载工况下有无异常振动、发热、噪声</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无裂纹、损伤;润滑良好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无异常振动、噪声和明显的发热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滑动轴承</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检查轴承有无磨损;在空载和负载T况下是否烧损及发热</w:t>
            </w:r>
          </w:p>
        </w:tc>
        <w:tc>
          <w:tcPr>
            <w:tcW w:w="300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无明显磨损;不得有烧损或明显升徒变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48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车</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轮</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w:t>
            </w: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轮缘</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检查有无裂纹、缺蚀、变形、磨损</w:t>
            </w:r>
          </w:p>
        </w:tc>
        <w:tc>
          <w:tcPr>
            <w:tcW w:w="300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做到半年一次轮线测量检查</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要做到无裂纹、明显变形、磨损、损伤</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无明显磨损:轮径误差值是否符合相应标准;无裂纹与变形:无剥落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无摩擦、磨损、安装良好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轮毂及轮盘</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检查有无裂纹、变形、磨损、损伤</w:t>
            </w:r>
          </w:p>
        </w:tc>
        <w:tc>
          <w:tcPr>
            <w:tcW w:w="300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车轮踏面</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检查踏面有无磨损:主动车轮以及从动车轮直径误差;坚持裂纹、变形、踏面表面剥落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300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轮毂内轴承</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检查滑动轴承的润滑情况;空载和负载工况时的异常振动、噪声、温升</w:t>
            </w:r>
          </w:p>
        </w:tc>
        <w:tc>
          <w:tcPr>
            <w:tcW w:w="300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48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08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车轮轮毂与锻梁侧板之间的贴板</w:t>
            </w:r>
          </w:p>
        </w:tc>
        <w:tc>
          <w:tcPr>
            <w:tcW w:w="351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检查有无摩擦、磨损；装配精度</w:t>
            </w:r>
          </w:p>
        </w:tc>
        <w:tc>
          <w:tcPr>
            <w:tcW w:w="300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bl>
    <w:p>
      <w:pPr>
        <w:keepNext w:val="0"/>
        <w:keepLines w:val="0"/>
        <w:pageBreakBefore w:val="0"/>
        <w:widowControl/>
        <w:kinsoku/>
        <w:wordWrap/>
        <w:overflowPunct/>
        <w:topLinePunct w:val="0"/>
        <w:autoSpaceDE/>
        <w:autoSpaceDN/>
        <w:bidi w:val="0"/>
        <w:adjustRightInd/>
        <w:snapToGrid/>
        <w:spacing w:line="7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方正小标宋_GBK" w:hAnsi="方正小标宋_GBK" w:eastAsia="方正小标宋_GBK" w:cs="方正小标宋_GBK"/>
          <w:color w:val="auto"/>
          <w:kern w:val="0"/>
          <w:sz w:val="32"/>
          <w:szCs w:val="32"/>
          <w:highlight w:val="none"/>
        </w:rPr>
        <w:t>轨道的检查</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起重机和小车的轨道，</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般要求每年检查与调整2次。轨道是起重机或小车平稳运行的基础，随着起重机运行时产生的冲击和振动，可能引起轨道安装的松动、连接件脱落、变形、裂纹、精度指示超差。这些缺陷反过来又影响起重机或小车的正常运行。通过检查和调整，可以为保证起重机的正常运行提供条件。</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center"/>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表3 轨道检查项目、内容及判定标准</w:t>
      </w:r>
    </w:p>
    <w:tbl>
      <w:tblPr>
        <w:tblStyle w:val="18"/>
        <w:tblW w:w="9212"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970"/>
        <w:gridCol w:w="3520"/>
        <w:gridCol w:w="2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702"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检查项目</w:t>
            </w:r>
          </w:p>
        </w:tc>
        <w:tc>
          <w:tcPr>
            <w:tcW w:w="352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检查内容</w:t>
            </w:r>
          </w:p>
        </w:tc>
        <w:tc>
          <w:tcPr>
            <w:tcW w:w="2990" w:type="dxa"/>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732"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轨道</w:t>
            </w: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钢轨</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检查有无裂纹、头部下陷、变形、侧面磨损</w:t>
            </w:r>
          </w:p>
        </w:tc>
        <w:tc>
          <w:tcPr>
            <w:tcW w:w="299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每三个月紧固一次压板螺丝及打油工作防止螺丝生锈，测量及检查</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是否有裂纹、开裂不得有松动与脱落</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各偏差应不得超过规定值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钢轨紧固螺栓</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检查连接螺栓有无松动及脱落</w:t>
            </w:r>
          </w:p>
        </w:tc>
        <w:tc>
          <w:tcPr>
            <w:tcW w:w="299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连接板及垫板</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检查连接螺栓有无松动、脱落:连接板和垫板有无移位、缺陷或脱落</w:t>
            </w:r>
          </w:p>
        </w:tc>
        <w:tc>
          <w:tcPr>
            <w:tcW w:w="299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缓冲器及车档</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检查有无损伤及错位:安装有无松动、脱落</w:t>
            </w:r>
          </w:p>
        </w:tc>
        <w:tc>
          <w:tcPr>
            <w:tcW w:w="299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钢轨接头</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检查焊缝有无裂纹与开裂</w:t>
            </w:r>
          </w:p>
        </w:tc>
        <w:tc>
          <w:tcPr>
            <w:tcW w:w="299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钢轨焊接安装</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检查焊缝有无裂纹与开裂</w:t>
            </w:r>
          </w:p>
        </w:tc>
        <w:tc>
          <w:tcPr>
            <w:tcW w:w="299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32"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97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几何尺寸误差</w:t>
            </w:r>
          </w:p>
        </w:tc>
        <w:tc>
          <w:tcPr>
            <w:tcW w:w="35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检查轨道，轨道中心线、轨顶高等偏少</w:t>
            </w:r>
          </w:p>
        </w:tc>
        <w:tc>
          <w:tcPr>
            <w:tcW w:w="299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bl>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检查结果，可以对轨道的压板、鱼尾板、螺栓等进行必要调整。如果确定小车轨道需要更换，不允许使用氧气乙炔火焰切割轨道、压板或焊缝。防止火焰切割时对主梁上盖板局部加热引起的主梁变形。可用电动砂轮或其他工具铲开焊缝与拆卸轨道。检查时要对轨道上的油污及时清除,防止起重机和小车运行时产生车轮打滑现象。</w:t>
      </w:r>
    </w:p>
    <w:p>
      <w:pPr>
        <w:keepNext w:val="0"/>
        <w:keepLines w:val="0"/>
        <w:pageBreakBefore w:val="0"/>
        <w:widowControl/>
        <w:kinsoku/>
        <w:wordWrap/>
        <w:overflowPunct/>
        <w:topLinePunct w:val="0"/>
        <w:autoSpaceDE/>
        <w:autoSpaceDN/>
        <w:bidi w:val="0"/>
        <w:adjustRightInd/>
        <w:snapToGrid/>
        <w:spacing w:line="720" w:lineRule="exact"/>
        <w:ind w:firstLine="640" w:firstLineChars="200"/>
        <w:jc w:val="center"/>
        <w:textAlignment w:val="center"/>
        <w:rPr>
          <w:rFonts w:hint="eastAsia" w:ascii="方正小标宋_GBK" w:hAnsi="方正小标宋_GBK" w:eastAsia="方正小标宋_GBK" w:cs="方正小标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br w:type="page"/>
      </w:r>
      <w:r>
        <w:rPr>
          <w:rFonts w:hint="eastAsia" w:ascii="方正小标宋_GBK" w:hAnsi="方正小标宋_GBK" w:eastAsia="方正小标宋_GBK" w:cs="方正小标宋_GBK"/>
          <w:color w:val="auto"/>
          <w:kern w:val="0"/>
          <w:sz w:val="32"/>
          <w:szCs w:val="32"/>
          <w:highlight w:val="none"/>
        </w:rPr>
        <w:t>供电、电气元件及控制系统检查</w:t>
      </w:r>
    </w:p>
    <w:p>
      <w:pPr>
        <w:widowControl/>
        <w:jc w:val="left"/>
        <w:textAlignment w:val="center"/>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表4起重机电气、 控制系统检查项目、内容、判定标准</w:t>
      </w:r>
    </w:p>
    <w:tbl>
      <w:tblPr>
        <w:tblStyle w:val="18"/>
        <w:tblW w:w="9123" w:type="dxa"/>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720"/>
        <w:gridCol w:w="1596"/>
        <w:gridCol w:w="17"/>
        <w:gridCol w:w="2973"/>
        <w:gridCol w:w="17"/>
        <w:gridCol w:w="2833"/>
        <w:gridCol w:w="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397" w:hRule="atLeast"/>
        </w:trPr>
        <w:tc>
          <w:tcPr>
            <w:tcW w:w="3266" w:type="dxa"/>
            <w:gridSpan w:val="3"/>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检查项目</w:t>
            </w:r>
          </w:p>
        </w:tc>
        <w:tc>
          <w:tcPr>
            <w:tcW w:w="2990"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检查内容</w:t>
            </w:r>
          </w:p>
        </w:tc>
        <w:tc>
          <w:tcPr>
            <w:tcW w:w="2850" w:type="dxa"/>
            <w:gridSpan w:val="2"/>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60" w:hRule="atLeast"/>
        </w:trPr>
        <w:tc>
          <w:tcPr>
            <w:tcW w:w="95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电动机</w:t>
            </w: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绕组</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检查绝缘电阻；有无发热</w:t>
            </w:r>
          </w:p>
        </w:tc>
        <w:tc>
          <w:tcPr>
            <w:tcW w:w="2850" w:type="dxa"/>
            <w:gridSpan w:val="2"/>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测量绝缘电阻值要符合规定范围内，清洗加注电机轴承润滑油</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10" w:hRule="atLeast"/>
        </w:trPr>
        <w:tc>
          <w:tcPr>
            <w:tcW w:w="95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轴承</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检查润滑情况与异常响声</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016" w:hRule="atLeast"/>
        </w:trPr>
        <w:tc>
          <w:tcPr>
            <w:tcW w:w="95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集电装置</w:t>
            </w: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滑线及滑车轨道</w:t>
            </w: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电源滑线、集电轨道</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检查有无变形、磨损、损伤;张紧装置动作是否正常;滑线与滑块的接触情况:绝缘子支承有无松脱</w:t>
            </w:r>
          </w:p>
        </w:tc>
        <w:tc>
          <w:tcPr>
            <w:tcW w:w="2850" w:type="dxa"/>
            <w:gridSpan w:val="2"/>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用工具一次检查每一根滑线磨损情况，如有破损、脱落应立即更换。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8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壳、盖、罩子</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检查有无损伤与变形:防触电装置是否正常</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97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绝缘集</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电器</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检查绝缘集电器的接线有无异常</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945"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绝缘子</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检查有无脱落与松动、破裂与污垢</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1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集电器</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机械部分</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检查有无磨损与损伤;润滑是否良好</w:t>
            </w:r>
          </w:p>
        </w:tc>
        <w:tc>
          <w:tcPr>
            <w:tcW w:w="2850" w:type="dxa"/>
            <w:gridSpan w:val="2"/>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清理集电器上灰尘，油渍及水垢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24"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弹簧</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检查有无变形、腐蚀及疲劳损伤</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5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接地与绝缘</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检查接线有无断线，绝缘子是否破损、污秽</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657"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接头螺栓</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检查紧固部分有无松动脱落</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07"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bottom"/>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供电电缆</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绝缘层</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检查有无损伤</w:t>
            </w:r>
          </w:p>
        </w:tc>
        <w:tc>
          <w:tcPr>
            <w:tcW w:w="2850" w:type="dxa"/>
            <w:gridSpan w:val="2"/>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用绝缘缠带从新包裹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5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bottom"/>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联接处</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检查紧固部分有无松动与脱落</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07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bottom"/>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电缆及导向装置</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检查电缆拉伸部分有无弯曲、扭曲及损伤:电缆导向装置动作情况</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56" w:hRule="atLeast"/>
        </w:trPr>
        <w:tc>
          <w:tcPr>
            <w:tcW w:w="950" w:type="dxa"/>
            <w:vMerge w:val="restart"/>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电气元器件控制系统</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电气元器件控制系统</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开关</w:t>
            </w: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开关、接触部分与保险器</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检查开关动作有无异常、外形有无破损;接触部分铰链和夹子的压力是否适合;保险器安装及容量是否合适</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动作正常、无破损;接触压力适当，安装正确，容量合适</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0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接触器</w:t>
            </w: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触头</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检查触头接触压力及接触面破损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接触面无间隙及脱开时彻底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9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可动铁芯</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检查铁芯吸合面有无附着物:工作时有无异常声响，屏蔽线圈有无断线:检查限位块有无磨损及损伤:断路时有无问隙</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无附着物;无异常声响或断线:无明显磨损及损伤;无问隙</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25"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紧固件</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检查紧固部分有无松动</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9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时间继电器</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检查其限时功能</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限时准确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2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接触片</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检查接触面有无损坏及磨损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无明显损坏与磨损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19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操作机构及操作实验</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用手操作，检查动作状态</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动作要正常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内部配线</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检查连接端了连接情况:配线及绝缘有无污损、劣化;电线引入管口有无异常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紧固端子螺丝做到无损伤、污染及劣化:无损伤或明显劣化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0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紧固连接</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检查紧固件有无松脱</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紧固螺丝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61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触电保护装置</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检查触电保护装置有无异常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设备无破损、脱落、变形、劣化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631"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控制操作开关</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动作状态</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检查动作状态是否正常;零位限制器及手柄动作是否正常</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动作平稳;限制器和手柄停止位置要牢靠</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357"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接触片及触头</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检查接触面有无破坏及磨损;接触片接触深度</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无明显破坏磨损;应完全接触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73"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绝缘棒</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检查有无裂纹、污损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无裂纹与明显污损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62"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动作方向显示板</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检查有无损伤及污染</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显示明显，无明显污损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5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电线引入</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检查电线引入管口有无异常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检查是否损伤或明显劣化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09"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596" w:type="dxa"/>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悬垂开关</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检查动作情况;有无损伤、污染;如为金属外壳,检查外壳与地线有无松动;橡套电缆是否承受不必要的外力;外壳、盖、悬垂保护装置有无异常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电阻器</w:t>
            </w:r>
          </w:p>
        </w:tc>
        <w:tc>
          <w:tcPr>
            <w:tcW w:w="1613"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端子</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检查紧固件有无松动</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按个紧固螺丝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613"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电阻片</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检查有无裂纹、损伤;各片问有无接触;有无松动:端子附近接线及绝缘是否过热烧损:绝缘体上是否积尘</w:t>
            </w:r>
          </w:p>
        </w:tc>
        <w:tc>
          <w:tcPr>
            <w:tcW w:w="2850" w:type="dxa"/>
            <w:gridSpan w:val="2"/>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测量电阻值，紧固螺丝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613"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绝缘子</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检查有无破裂、污损</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950" w:type="dxa"/>
            <w:vMerge w:val="continue"/>
            <w:noWrap w:val="0"/>
            <w:vAlign w:val="top"/>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72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1613"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连接紧固</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检查紧固件有无松动</w:t>
            </w:r>
          </w:p>
        </w:tc>
        <w:tc>
          <w:tcPr>
            <w:tcW w:w="2850" w:type="dxa"/>
            <w:gridSpan w:val="2"/>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35" w:hRule="atLeast"/>
        </w:trPr>
        <w:tc>
          <w:tcPr>
            <w:tcW w:w="950" w:type="dxa"/>
            <w:vMerge w:val="restart"/>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线路及通讯</w:t>
            </w:r>
          </w:p>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机内照明</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检查保护层有无损伤:有无过紧、扭曲、线夹松动现象</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606" w:hRule="atLeast"/>
        </w:trPr>
        <w:tc>
          <w:tcPr>
            <w:tcW w:w="95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照明及信号灯</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检查照明亮度是否合适;接头部分有无松动;紧固件是否松动;灯泡和防护装置有无破损</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确保仪表和操作部分有充足的亮度更换损坏灯具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23" w:hRule="atLeast"/>
        </w:trPr>
        <w:tc>
          <w:tcPr>
            <w:tcW w:w="95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通讯装置</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检查通话设施功能</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要求通话正常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08" w:hRule="atLeast"/>
        </w:trPr>
        <w:tc>
          <w:tcPr>
            <w:tcW w:w="950" w:type="dxa"/>
            <w:vMerge w:val="continue"/>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p>
        </w:tc>
        <w:tc>
          <w:tcPr>
            <w:tcW w:w="2316"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电路绝缘电阻</w:t>
            </w:r>
          </w:p>
        </w:tc>
        <w:tc>
          <w:tcPr>
            <w:tcW w:w="299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测定配电电路各支路绝缘电阻有无异常</w:t>
            </w:r>
          </w:p>
        </w:tc>
        <w:tc>
          <w:tcPr>
            <w:tcW w:w="2850" w:type="dxa"/>
            <w:gridSpan w:val="2"/>
            <w:noWrap w:val="0"/>
            <w:vAlign w:val="center"/>
          </w:tcPr>
          <w:p>
            <w:pPr>
              <w:keepNext w:val="0"/>
              <w:keepLines w:val="0"/>
              <w:pageBreakBefore w:val="0"/>
              <w:widowControl/>
              <w:kinsoku/>
              <w:wordWrap w:val="0"/>
              <w:overflowPunct/>
              <w:topLinePunct/>
              <w:autoSpaceDE/>
              <w:autoSpaceDN/>
              <w:bidi w:val="0"/>
              <w:adjustRightInd/>
              <w:snapToGrid/>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测量绝缘电阻值应在规定的范围之内</w:t>
            </w:r>
          </w:p>
        </w:tc>
      </w:tr>
    </w:tbl>
    <w:p>
      <w:pPr>
        <w:bidi w:val="0"/>
        <w:rPr>
          <w:rFonts w:hint="eastAsia"/>
          <w:highlight w:val="none"/>
          <w:lang w:val="en-US" w:eastAsia="zh-CN"/>
        </w:rPr>
      </w:pPr>
      <w:r>
        <w:rPr>
          <w:rFonts w:hint="eastAsia"/>
          <w:highlight w:val="none"/>
          <w:lang w:val="en-US" w:eastAsia="zh-CN"/>
        </w:rPr>
        <w:t>每台轨道式集装箱门式起重机每年一级保养12次、二级保养4次、巡检24次。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第四条  合同金额</w:t>
      </w:r>
    </w:p>
    <w:p>
      <w:pPr>
        <w:bidi w:val="0"/>
        <w:ind w:left="960" w:leftChars="200" w:hanging="480" w:hangingChars="200"/>
        <w:rPr>
          <w:rFonts w:hint="eastAsia"/>
          <w:highlight w:val="none"/>
        </w:rPr>
      </w:pPr>
      <w:r>
        <w:rPr>
          <w:rFonts w:hint="eastAsia"/>
          <w:highlight w:val="none"/>
        </w:rPr>
        <w:t>1、本合同服务期限暂定为</w:t>
      </w:r>
      <w:r>
        <w:rPr>
          <w:rFonts w:hint="eastAsia"/>
          <w:highlight w:val="none"/>
          <w:lang w:val="en-US" w:eastAsia="zh-CN"/>
        </w:rPr>
        <w:t>12</w:t>
      </w:r>
      <w:r>
        <w:rPr>
          <w:rFonts w:hint="eastAsia"/>
          <w:highlight w:val="none"/>
        </w:rPr>
        <w:t>个月，合同</w:t>
      </w:r>
      <w:r>
        <w:rPr>
          <w:rFonts w:hint="eastAsia"/>
          <w:highlight w:val="none"/>
          <w:lang w:val="en-US" w:eastAsia="zh-CN"/>
        </w:rPr>
        <w:t>维保服务预估含税</w:t>
      </w:r>
      <w:r>
        <w:rPr>
          <w:rFonts w:hint="eastAsia"/>
          <w:highlight w:val="none"/>
        </w:rPr>
        <w:t>金额为</w:t>
      </w:r>
      <w:r>
        <w:rPr>
          <w:rFonts w:hint="eastAsia"/>
          <w:highlight w:val="none"/>
          <w:u w:val="single"/>
          <w:lang w:val="en-US" w:eastAsia="zh-CN"/>
        </w:rPr>
        <w:t xml:space="preserve">    </w:t>
      </w:r>
      <w:r>
        <w:rPr>
          <w:rFonts w:hint="eastAsia"/>
          <w:highlight w:val="none"/>
        </w:rPr>
        <w:t>元（大写</w:t>
      </w:r>
      <w:r>
        <w:rPr>
          <w:rFonts w:hint="eastAsia"/>
          <w:highlight w:val="none"/>
          <w:lang w:eastAsia="zh-CN"/>
        </w:rPr>
        <w:t>：</w:t>
      </w:r>
      <w:r>
        <w:rPr>
          <w:rFonts w:hint="eastAsia"/>
          <w:highlight w:val="none"/>
          <w:u w:val="single"/>
          <w:lang w:val="en-US" w:eastAsia="zh-CN"/>
        </w:rPr>
        <w:t xml:space="preserve">    </w:t>
      </w:r>
      <w:r>
        <w:rPr>
          <w:rFonts w:hint="eastAsia"/>
          <w:highlight w:val="none"/>
          <w:lang w:eastAsia="zh-CN"/>
        </w:rPr>
        <w:t>元整</w:t>
      </w:r>
      <w:r>
        <w:rPr>
          <w:rFonts w:hint="eastAsia"/>
          <w:highlight w:val="none"/>
        </w:rPr>
        <w:t>）</w:t>
      </w:r>
      <w:r>
        <w:rPr>
          <w:rFonts w:hint="eastAsia"/>
          <w:highlight w:val="none"/>
          <w:lang w:val="en-US" w:eastAsia="zh-CN"/>
        </w:rPr>
        <w:t>（包含国家相关机构年检费用），税率  %。</w:t>
      </w:r>
    </w:p>
    <w:p>
      <w:pPr>
        <w:bidi w:val="0"/>
        <w:ind w:firstLine="480"/>
        <w:rPr>
          <w:rFonts w:hint="eastAsia"/>
          <w:highlight w:val="none"/>
        </w:rPr>
      </w:pPr>
      <w:r>
        <w:rPr>
          <w:rFonts w:hint="eastAsia"/>
          <w:highlight w:val="none"/>
        </w:rPr>
        <w:t>本合同所述的服务费单价为</w:t>
      </w:r>
      <w:r>
        <w:rPr>
          <w:rFonts w:hint="eastAsia"/>
          <w:highlight w:val="none"/>
          <w:lang w:eastAsia="zh-CN"/>
        </w:rPr>
        <w:t>轨道式集装箱门式起重机</w:t>
      </w:r>
      <w:r>
        <w:rPr>
          <w:rFonts w:hint="eastAsia"/>
          <w:highlight w:val="none"/>
        </w:rPr>
        <w:t>定点维保服务的综合包干价，包含但不限于设备费、人工费、运输费、管理费、利润、设备安装调试费、年度检验费用、小额配件费（单件费用</w:t>
      </w:r>
      <w:r>
        <w:rPr>
          <w:rFonts w:hint="default" w:ascii="Arial" w:hAnsi="Arial" w:cs="Arial"/>
          <w:highlight w:val="none"/>
        </w:rPr>
        <w:t>≤</w:t>
      </w:r>
      <w:r>
        <w:rPr>
          <w:rFonts w:hint="eastAsia"/>
          <w:highlight w:val="none"/>
        </w:rPr>
        <w:t>500元）等所有费用。</w:t>
      </w:r>
    </w:p>
    <w:p>
      <w:pPr>
        <w:bidi w:val="0"/>
        <w:rPr>
          <w:rFonts w:hint="eastAsia"/>
          <w:highlight w:val="none"/>
          <w:lang w:val="en-US" w:eastAsia="zh-CN"/>
        </w:rPr>
      </w:pPr>
      <w:r>
        <w:rPr>
          <w:rFonts w:hint="eastAsia"/>
          <w:highlight w:val="none"/>
          <w:lang w:val="en-US" w:eastAsia="zh-CN"/>
        </w:rPr>
        <w:t>在运维服务期内，如因设备质量问题导致的出现无法消除的设备故障，所产生的设备更换费用、材料费用以及物资供应等费用，单次材料或设备金额500元及以下(包括但不限于电气配件、机械配件、黄油、螺栓等)由乙方承担，单次材料或设备金额500 元以上的乙方可提供报价参考，经甲方确认市场价后可优先考虑乙方，经甲方确认后实施。设备由于维护质量引起的故障等所产生的设备更换费用、材料费用以及物资供应等费用应由乙方承担。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第五条  支付方式</w:t>
      </w:r>
    </w:p>
    <w:p>
      <w:pPr>
        <w:bidi w:val="0"/>
        <w:rPr>
          <w:rFonts w:hint="eastAsia"/>
          <w:highlight w:val="none"/>
          <w:lang w:eastAsia="zh-CN"/>
        </w:rPr>
      </w:pPr>
      <w:r>
        <w:rPr>
          <w:rFonts w:hint="eastAsia"/>
          <w:highlight w:val="none"/>
        </w:rPr>
        <w:t>按季支付，</w:t>
      </w:r>
      <w:r>
        <w:rPr>
          <w:rFonts w:hint="eastAsia"/>
          <w:highlight w:val="none"/>
          <w:lang w:eastAsia="zh-CN"/>
        </w:rPr>
        <w:t>乙方</w:t>
      </w:r>
      <w:r>
        <w:rPr>
          <w:rFonts w:hint="eastAsia"/>
          <w:highlight w:val="none"/>
        </w:rPr>
        <w:t>完成上一季度</w:t>
      </w:r>
      <w:r>
        <w:rPr>
          <w:rFonts w:hint="eastAsia"/>
          <w:highlight w:val="none"/>
          <w:lang w:eastAsia="zh-CN"/>
        </w:rPr>
        <w:t>轨道式集装箱门式起重机</w:t>
      </w:r>
      <w:r>
        <w:rPr>
          <w:rFonts w:hint="eastAsia"/>
          <w:highlight w:val="none"/>
        </w:rPr>
        <w:t>维保后，</w:t>
      </w:r>
      <w:r>
        <w:rPr>
          <w:rFonts w:hint="eastAsia"/>
          <w:highlight w:val="none"/>
          <w:lang w:eastAsia="zh-CN"/>
        </w:rPr>
        <w:t>乙方</w:t>
      </w:r>
      <w:r>
        <w:rPr>
          <w:rFonts w:hint="eastAsia"/>
          <w:highlight w:val="none"/>
        </w:rPr>
        <w:t>提交</w:t>
      </w:r>
      <w:r>
        <w:rPr>
          <w:rFonts w:hint="eastAsia"/>
          <w:highlight w:val="none"/>
          <w:lang w:eastAsia="zh-CN"/>
        </w:rPr>
        <w:t>下述</w:t>
      </w:r>
      <w:r>
        <w:rPr>
          <w:rFonts w:hint="eastAsia"/>
          <w:highlight w:val="none"/>
        </w:rPr>
        <w:t>支付需要资料，经</w:t>
      </w:r>
      <w:r>
        <w:rPr>
          <w:rFonts w:hint="eastAsia"/>
          <w:highlight w:val="none"/>
          <w:lang w:eastAsia="zh-CN"/>
        </w:rPr>
        <w:t>甲方</w:t>
      </w:r>
      <w:r>
        <w:rPr>
          <w:rFonts w:hint="eastAsia"/>
          <w:highlight w:val="none"/>
        </w:rPr>
        <w:t>审核并办理完支付手续后，</w:t>
      </w:r>
      <w:r>
        <w:rPr>
          <w:rFonts w:hint="eastAsia"/>
          <w:highlight w:val="none"/>
          <w:lang w:eastAsia="zh-CN"/>
        </w:rPr>
        <w:t>甲方</w:t>
      </w:r>
      <w:r>
        <w:rPr>
          <w:rFonts w:hint="eastAsia"/>
          <w:highlight w:val="none"/>
        </w:rPr>
        <w:t>在10个工作日内按季度支付总金额的100%支付给</w:t>
      </w:r>
      <w:r>
        <w:rPr>
          <w:rFonts w:hint="eastAsia"/>
          <w:highlight w:val="none"/>
          <w:lang w:eastAsia="zh-CN"/>
        </w:rPr>
        <w:t>乙方</w:t>
      </w:r>
    </w:p>
    <w:p>
      <w:pPr>
        <w:bidi w:val="0"/>
        <w:rPr>
          <w:rFonts w:hint="eastAsia"/>
          <w:highlight w:val="none"/>
        </w:rPr>
      </w:pPr>
      <w:r>
        <w:rPr>
          <w:rFonts w:hint="eastAsia"/>
          <w:highlight w:val="none"/>
        </w:rPr>
        <w:t>支付需要资料如下：</w:t>
      </w:r>
    </w:p>
    <w:p>
      <w:pPr>
        <w:bidi w:val="0"/>
        <w:rPr>
          <w:rFonts w:hint="eastAsia"/>
          <w:highlight w:val="none"/>
        </w:rPr>
      </w:pPr>
      <w:r>
        <w:rPr>
          <w:rFonts w:hint="eastAsia"/>
          <w:highlight w:val="none"/>
        </w:rPr>
        <w:t>1.经双方确认签字盖章的</w:t>
      </w:r>
      <w:r>
        <w:rPr>
          <w:rFonts w:hint="eastAsia"/>
          <w:highlight w:val="none"/>
          <w:lang w:val="en-US" w:eastAsia="zh-CN"/>
        </w:rPr>
        <w:t>资金</w:t>
      </w:r>
      <w:r>
        <w:rPr>
          <w:rFonts w:hint="eastAsia"/>
          <w:highlight w:val="none"/>
        </w:rPr>
        <w:t>支付审批</w:t>
      </w:r>
      <w:r>
        <w:rPr>
          <w:rFonts w:hint="eastAsia"/>
          <w:highlight w:val="none"/>
          <w:lang w:val="en-US" w:eastAsia="zh-CN"/>
        </w:rPr>
        <w:t>单</w:t>
      </w:r>
      <w:r>
        <w:rPr>
          <w:rFonts w:hint="eastAsia"/>
          <w:highlight w:val="none"/>
        </w:rPr>
        <w:t>、进度支付明细表；</w:t>
      </w:r>
    </w:p>
    <w:p>
      <w:pPr>
        <w:bidi w:val="0"/>
        <w:rPr>
          <w:rFonts w:hint="eastAsia"/>
          <w:highlight w:val="none"/>
        </w:rPr>
      </w:pPr>
      <w:r>
        <w:rPr>
          <w:rFonts w:hint="eastAsia"/>
          <w:highlight w:val="none"/>
          <w:lang w:val="en-US" w:eastAsia="zh-CN"/>
        </w:rPr>
        <w:t>2</w:t>
      </w:r>
      <w:r>
        <w:rPr>
          <w:rFonts w:hint="eastAsia"/>
          <w:highlight w:val="none"/>
        </w:rPr>
        <w:t>.提供满足税法规定的足额增值税专用发票，国家或地方税率调整的（企业自身经营原因发生的税率调整除外），按最新税率结算；</w:t>
      </w:r>
    </w:p>
    <w:p>
      <w:pPr>
        <w:bidi w:val="0"/>
        <w:rPr>
          <w:rFonts w:hint="eastAsia"/>
          <w:highlight w:val="none"/>
        </w:rPr>
      </w:pPr>
      <w:r>
        <w:rPr>
          <w:rFonts w:hint="eastAsia"/>
          <w:highlight w:val="none"/>
        </w:rPr>
        <w:t>4.</w:t>
      </w:r>
      <w:r>
        <w:rPr>
          <w:rFonts w:hint="eastAsia"/>
          <w:highlight w:val="none"/>
          <w:lang w:eastAsia="zh-CN"/>
        </w:rPr>
        <w:t>甲方</w:t>
      </w:r>
      <w:r>
        <w:rPr>
          <w:rFonts w:hint="eastAsia"/>
          <w:highlight w:val="none"/>
        </w:rPr>
        <w:t>要求的其他结算表格及支付相关所需资料；</w:t>
      </w:r>
    </w:p>
    <w:p>
      <w:pPr>
        <w:bidi w:val="0"/>
        <w:rPr>
          <w:rFonts w:hint="eastAsia"/>
          <w:highlight w:val="none"/>
        </w:rPr>
      </w:pPr>
      <w:r>
        <w:rPr>
          <w:rFonts w:hint="eastAsia"/>
          <w:highlight w:val="none"/>
        </w:rPr>
        <w:t>5.经双方签字的维保验收</w:t>
      </w:r>
      <w:r>
        <w:rPr>
          <w:rFonts w:hint="eastAsia"/>
          <w:highlight w:val="none"/>
          <w:lang w:val="en-US" w:eastAsia="zh-CN"/>
        </w:rPr>
        <w:t>资料</w:t>
      </w:r>
      <w:r>
        <w:rPr>
          <w:rFonts w:hint="eastAsia"/>
          <w:highlight w:val="none"/>
        </w:rPr>
        <w:t>。</w:t>
      </w:r>
    </w:p>
    <w:p>
      <w:pPr>
        <w:overflowPunct w:val="0"/>
        <w:spacing w:line="600" w:lineRule="exact"/>
        <w:ind w:firstLine="640" w:firstLineChars="200"/>
        <w:rPr>
          <w:rFonts w:hint="eastAsia" w:ascii="宋体" w:hAnsi="宋体" w:eastAsia="宋体" w:cs="宋体"/>
          <w:b/>
          <w:bCs/>
          <w:color w:val="auto"/>
          <w:kern w:val="0"/>
          <w:sz w:val="28"/>
          <w:szCs w:val="28"/>
          <w:highlight w:val="none"/>
          <w:lang w:eastAsia="zh-CN"/>
        </w:rPr>
      </w:pPr>
      <w:r>
        <w:rPr>
          <w:rFonts w:hint="eastAsia" w:ascii="方正黑体_GBK" w:hAnsi="方正黑体_GBK" w:eastAsia="方正黑体_GBK" w:cs="方正黑体_GBK"/>
          <w:b w:val="0"/>
          <w:bCs w:val="0"/>
          <w:color w:val="auto"/>
          <w:kern w:val="0"/>
          <w:sz w:val="32"/>
          <w:szCs w:val="32"/>
          <w:highlight w:val="none"/>
        </w:rPr>
        <w:t>第六条</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eastAsia="zh-CN"/>
        </w:rPr>
        <w:t>履约担保</w:t>
      </w:r>
    </w:p>
    <w:p>
      <w:pPr>
        <w:bidi w:val="0"/>
        <w:rPr>
          <w:rFonts w:hint="eastAsia"/>
          <w:highlight w:val="none"/>
        </w:rPr>
      </w:pPr>
      <w:r>
        <w:rPr>
          <w:rFonts w:hint="eastAsia"/>
          <w:highlight w:val="none"/>
        </w:rPr>
        <w:t>（1）履约担保的形式：</w:t>
      </w:r>
      <w:r>
        <w:rPr>
          <w:rFonts w:hint="eastAsia"/>
          <w:highlight w:val="none"/>
          <w:lang w:eastAsia="zh-CN"/>
        </w:rPr>
        <w:t>银行转账</w:t>
      </w:r>
      <w:r>
        <w:rPr>
          <w:rFonts w:hint="eastAsia"/>
          <w:highlight w:val="none"/>
          <w:lang w:val="en-US" w:eastAsia="zh-CN"/>
        </w:rPr>
        <w:t>的</w:t>
      </w:r>
      <w:r>
        <w:rPr>
          <w:rFonts w:hint="eastAsia"/>
          <w:highlight w:val="none"/>
        </w:rPr>
        <w:t>形式；</w:t>
      </w:r>
    </w:p>
    <w:p>
      <w:pPr>
        <w:bidi w:val="0"/>
        <w:rPr>
          <w:rFonts w:hint="eastAsia" w:eastAsia="宋体"/>
          <w:highlight w:val="none"/>
          <w:lang w:val="en-US" w:eastAsia="zh-CN"/>
        </w:rPr>
      </w:pPr>
      <w:r>
        <w:rPr>
          <w:rFonts w:hint="eastAsia"/>
          <w:highlight w:val="none"/>
        </w:rPr>
        <w:t>（2）履约担保的金额：</w:t>
      </w:r>
      <w:r>
        <w:rPr>
          <w:rFonts w:hint="eastAsia"/>
          <w:highlight w:val="none"/>
          <w:lang w:val="en-US" w:eastAsia="zh-CN"/>
        </w:rPr>
        <w:t>1万元</w:t>
      </w:r>
    </w:p>
    <w:p>
      <w:pPr>
        <w:bidi w:val="0"/>
        <w:rPr>
          <w:rFonts w:hint="eastAsia"/>
          <w:highlight w:val="none"/>
        </w:rPr>
      </w:pPr>
      <w:r>
        <w:rPr>
          <w:rFonts w:hint="eastAsia"/>
          <w:highlight w:val="none"/>
        </w:rPr>
        <w:t>（3）履约担保的提交时间：</w:t>
      </w:r>
    </w:p>
    <w:p>
      <w:pPr>
        <w:bidi w:val="0"/>
        <w:rPr>
          <w:rFonts w:hint="eastAsia"/>
          <w:highlight w:val="none"/>
        </w:rPr>
      </w:pPr>
      <w:r>
        <w:rPr>
          <w:rFonts w:hint="eastAsia"/>
          <w:highlight w:val="none"/>
        </w:rPr>
        <w:t>（4）履约担保的期限：自提交履约担保之日起</w:t>
      </w:r>
      <w:r>
        <w:rPr>
          <w:rFonts w:hint="eastAsia"/>
          <w:highlight w:val="none"/>
          <w:lang w:val="en-US" w:eastAsia="zh-CN"/>
        </w:rPr>
        <w:t>1</w:t>
      </w:r>
      <w:r>
        <w:rPr>
          <w:rFonts w:hint="eastAsia"/>
          <w:highlight w:val="none"/>
        </w:rPr>
        <w:t>年。</w:t>
      </w:r>
    </w:p>
    <w:p>
      <w:pPr>
        <w:bidi w:val="0"/>
        <w:rPr>
          <w:rFonts w:hint="eastAsia"/>
          <w:highlight w:val="none"/>
        </w:rPr>
      </w:pPr>
      <w:r>
        <w:rPr>
          <w:rFonts w:hint="eastAsia"/>
          <w:highlight w:val="none"/>
        </w:rPr>
        <w:t>（5）履约担保的退还时间：合同约定内容履行完毕后30天内一次性无息退还；但如果此时存在合同争端并且未能得到解决，那么履约</w:t>
      </w:r>
      <w:r>
        <w:rPr>
          <w:rFonts w:hint="eastAsia"/>
          <w:highlight w:val="none"/>
          <w:lang w:eastAsia="zh-CN"/>
        </w:rPr>
        <w:t>保证金</w:t>
      </w:r>
      <w:r>
        <w:rPr>
          <w:rFonts w:hint="eastAsia"/>
          <w:highlight w:val="none"/>
        </w:rPr>
        <w:t>的有效期应延长到上述争端最终解决且所有理赔完毕。</w:t>
      </w:r>
    </w:p>
    <w:p>
      <w:pPr>
        <w:bidi w:val="0"/>
        <w:rPr>
          <w:rFonts w:hint="eastAsia"/>
          <w:highlight w:val="none"/>
        </w:rPr>
      </w:pPr>
      <w:r>
        <w:rPr>
          <w:rFonts w:hint="eastAsia"/>
          <w:highlight w:val="none"/>
        </w:rPr>
        <w:t>（6）如果</w:t>
      </w:r>
      <w:r>
        <w:rPr>
          <w:rFonts w:hint="eastAsia"/>
          <w:highlight w:val="none"/>
          <w:lang w:eastAsia="zh-CN"/>
        </w:rPr>
        <w:t>乙方</w:t>
      </w:r>
      <w:r>
        <w:rPr>
          <w:rFonts w:hint="eastAsia"/>
          <w:highlight w:val="none"/>
        </w:rPr>
        <w:t>未能履行合同并给</w:t>
      </w:r>
      <w:r>
        <w:rPr>
          <w:rFonts w:hint="eastAsia"/>
          <w:highlight w:val="none"/>
          <w:lang w:val="en-US" w:eastAsia="zh-CN"/>
        </w:rPr>
        <w:t>甲方</w:t>
      </w:r>
      <w:r>
        <w:rPr>
          <w:rFonts w:hint="eastAsia"/>
          <w:highlight w:val="none"/>
        </w:rPr>
        <w:t>造成损失，履约保证金将作为对损失的补偿之一而支付给</w:t>
      </w:r>
      <w:r>
        <w:rPr>
          <w:rFonts w:hint="eastAsia"/>
          <w:highlight w:val="none"/>
          <w:lang w:eastAsia="zh-CN"/>
        </w:rPr>
        <w:t>比选人</w:t>
      </w:r>
      <w:r>
        <w:rPr>
          <w:rFonts w:hint="eastAsia"/>
          <w:highlight w:val="none"/>
        </w:rPr>
        <w:t>。</w:t>
      </w:r>
      <w:r>
        <w:rPr>
          <w:rFonts w:hint="eastAsia"/>
          <w:highlight w:val="none"/>
          <w:lang w:eastAsia="zh-CN"/>
        </w:rPr>
        <w:t>乙方</w:t>
      </w:r>
      <w:r>
        <w:rPr>
          <w:rFonts w:hint="eastAsia"/>
          <w:highlight w:val="none"/>
        </w:rPr>
        <w:t>须在30日内补足履约保证金扣除部分，逾期则</w:t>
      </w:r>
      <w:r>
        <w:rPr>
          <w:rFonts w:hint="eastAsia"/>
          <w:highlight w:val="none"/>
          <w:lang w:eastAsia="zh-CN"/>
        </w:rPr>
        <w:t>甲方</w:t>
      </w:r>
      <w:r>
        <w:rPr>
          <w:rFonts w:hint="eastAsia"/>
          <w:highlight w:val="none"/>
        </w:rPr>
        <w:t>可在应支付的合同费用中进行计提。</w:t>
      </w:r>
    </w:p>
    <w:p>
      <w:pPr>
        <w:overflowPunct w:val="0"/>
        <w:spacing w:line="600" w:lineRule="exact"/>
        <w:ind w:firstLine="640" w:firstLineChars="200"/>
        <w:rPr>
          <w:rFonts w:hint="eastAsia" w:ascii="方正黑体_GBK" w:hAnsi="方正黑体_GBK" w:eastAsia="方正黑体_GBK" w:cs="方正黑体_GBK"/>
          <w:b w:val="0"/>
          <w:bCs w:val="0"/>
          <w:color w:val="auto"/>
          <w:kern w:val="0"/>
          <w:sz w:val="32"/>
          <w:szCs w:val="32"/>
          <w:highlight w:val="none"/>
          <w:lang w:eastAsia="zh-CN"/>
        </w:rPr>
      </w:pPr>
      <w:r>
        <w:rPr>
          <w:rFonts w:hint="eastAsia" w:ascii="方正黑体_GBK" w:hAnsi="方正黑体_GBK" w:eastAsia="方正黑体_GBK" w:cs="方正黑体_GBK"/>
          <w:b w:val="0"/>
          <w:bCs w:val="0"/>
          <w:color w:val="auto"/>
          <w:kern w:val="0"/>
          <w:sz w:val="32"/>
          <w:szCs w:val="32"/>
          <w:highlight w:val="none"/>
        </w:rPr>
        <w:t>第</w:t>
      </w:r>
      <w:r>
        <w:rPr>
          <w:rFonts w:hint="eastAsia" w:ascii="方正黑体_GBK" w:hAnsi="方正黑体_GBK" w:eastAsia="方正黑体_GBK" w:cs="方正黑体_GBK"/>
          <w:b w:val="0"/>
          <w:bCs w:val="0"/>
          <w:color w:val="auto"/>
          <w:kern w:val="0"/>
          <w:sz w:val="32"/>
          <w:szCs w:val="32"/>
          <w:highlight w:val="none"/>
          <w:lang w:eastAsia="zh-CN"/>
        </w:rPr>
        <w:t>七</w:t>
      </w:r>
      <w:r>
        <w:rPr>
          <w:rFonts w:hint="eastAsia" w:ascii="方正黑体_GBK" w:hAnsi="方正黑体_GBK" w:eastAsia="方正黑体_GBK" w:cs="方正黑体_GBK"/>
          <w:b w:val="0"/>
          <w:bCs w:val="0"/>
          <w:color w:val="auto"/>
          <w:kern w:val="0"/>
          <w:sz w:val="32"/>
          <w:szCs w:val="32"/>
          <w:highlight w:val="none"/>
        </w:rPr>
        <w:t xml:space="preserve">条 </w:t>
      </w:r>
      <w:r>
        <w:rPr>
          <w:rFonts w:hint="eastAsia" w:ascii="方正黑体_GBK" w:hAnsi="方正黑体_GBK" w:eastAsia="方正黑体_GBK" w:cs="方正黑体_GBK"/>
          <w:b w:val="0"/>
          <w:bCs w:val="0"/>
          <w:color w:val="auto"/>
          <w:kern w:val="0"/>
          <w:sz w:val="32"/>
          <w:szCs w:val="32"/>
          <w:highlight w:val="none"/>
          <w:lang w:eastAsia="zh-CN"/>
        </w:rPr>
        <w:t>考核方式</w:t>
      </w:r>
    </w:p>
    <w:p>
      <w:pPr>
        <w:numPr>
          <w:ilvl w:val="0"/>
          <w:numId w:val="1"/>
        </w:numPr>
        <w:bidi w:val="0"/>
        <w:rPr>
          <w:rFonts w:hint="eastAsia"/>
          <w:highlight w:val="none"/>
        </w:rPr>
      </w:pPr>
      <w:r>
        <w:rPr>
          <w:rFonts w:hint="eastAsia"/>
          <w:highlight w:val="none"/>
        </w:rPr>
        <w:t>巡查：甲方采取派人员现场监管和随机抽查相结合的方式。现场监管由本甲方监管人员检查现场和台帐；随机抽查由甲方派人员不定时、不定点进行检查。</w:t>
      </w:r>
    </w:p>
    <w:p>
      <w:pPr>
        <w:numPr>
          <w:ilvl w:val="0"/>
          <w:numId w:val="1"/>
        </w:numPr>
        <w:bidi w:val="0"/>
        <w:rPr>
          <w:rFonts w:hint="eastAsia"/>
          <w:highlight w:val="none"/>
        </w:rPr>
      </w:pPr>
      <w:r>
        <w:rPr>
          <w:rFonts w:hint="eastAsia"/>
          <w:highlight w:val="none"/>
        </w:rPr>
        <w:t>公众监督：市民、媒体等进行的监督。</w:t>
      </w:r>
    </w:p>
    <w:p>
      <w:pPr>
        <w:overflowPunct w:val="0"/>
        <w:spacing w:line="600" w:lineRule="exact"/>
        <w:ind w:firstLine="640" w:firstLineChars="200"/>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第</w:t>
      </w:r>
      <w:r>
        <w:rPr>
          <w:rFonts w:hint="eastAsia" w:ascii="方正黑体_GBK" w:hAnsi="方正黑体_GBK" w:eastAsia="方正黑体_GBK" w:cs="方正黑体_GBK"/>
          <w:b w:val="0"/>
          <w:bCs w:val="0"/>
          <w:color w:val="auto"/>
          <w:kern w:val="0"/>
          <w:sz w:val="32"/>
          <w:szCs w:val="32"/>
          <w:highlight w:val="none"/>
          <w:lang w:eastAsia="zh-CN"/>
        </w:rPr>
        <w:t>八</w:t>
      </w:r>
      <w:r>
        <w:rPr>
          <w:rFonts w:hint="eastAsia" w:ascii="方正黑体_GBK" w:hAnsi="方正黑体_GBK" w:eastAsia="方正黑体_GBK" w:cs="方正黑体_GBK"/>
          <w:b w:val="0"/>
          <w:bCs w:val="0"/>
          <w:color w:val="auto"/>
          <w:kern w:val="0"/>
          <w:sz w:val="32"/>
          <w:szCs w:val="32"/>
          <w:highlight w:val="none"/>
        </w:rPr>
        <w:t>条  甲方权利和责任</w:t>
      </w:r>
    </w:p>
    <w:p>
      <w:pPr>
        <w:numPr>
          <w:ilvl w:val="0"/>
          <w:numId w:val="2"/>
        </w:numPr>
        <w:bidi w:val="0"/>
        <w:rPr>
          <w:rFonts w:hint="eastAsia"/>
          <w:highlight w:val="none"/>
        </w:rPr>
      </w:pPr>
      <w:r>
        <w:rPr>
          <w:rFonts w:hint="eastAsia"/>
          <w:highlight w:val="none"/>
        </w:rPr>
        <w:t>设备维保时，甲方需配合乙方做好设备停机等工作。</w:t>
      </w:r>
    </w:p>
    <w:p>
      <w:pPr>
        <w:numPr>
          <w:ilvl w:val="0"/>
          <w:numId w:val="2"/>
        </w:numPr>
        <w:bidi w:val="0"/>
        <w:rPr>
          <w:rFonts w:hint="eastAsia"/>
          <w:highlight w:val="none"/>
        </w:rPr>
      </w:pPr>
      <w:r>
        <w:rPr>
          <w:rFonts w:hint="eastAsia"/>
          <w:highlight w:val="none"/>
        </w:rPr>
        <w:t>甲方有权对乙方的设备维修维保工作进行检查、监督。</w:t>
      </w:r>
    </w:p>
    <w:p>
      <w:pPr>
        <w:numPr>
          <w:ilvl w:val="0"/>
          <w:numId w:val="2"/>
        </w:numPr>
        <w:bidi w:val="0"/>
        <w:rPr>
          <w:rFonts w:hint="eastAsia"/>
          <w:highlight w:val="none"/>
        </w:rPr>
      </w:pPr>
      <w:r>
        <w:rPr>
          <w:rFonts w:hint="eastAsia"/>
          <w:highlight w:val="none"/>
        </w:rPr>
        <w:t>甲方应做好设备的运行工作，并有义务协助配合乙方搞好有关代维设备的维护。</w:t>
      </w:r>
    </w:p>
    <w:p>
      <w:pPr>
        <w:numPr>
          <w:ilvl w:val="0"/>
          <w:numId w:val="2"/>
        </w:numPr>
        <w:bidi w:val="0"/>
        <w:rPr>
          <w:rFonts w:hint="eastAsia"/>
          <w:highlight w:val="none"/>
        </w:rPr>
      </w:pPr>
      <w:r>
        <w:rPr>
          <w:rFonts w:hint="eastAsia"/>
          <w:highlight w:val="none"/>
        </w:rPr>
        <w:t>甲方应按照本合同约定按时支付维保费用。</w:t>
      </w:r>
    </w:p>
    <w:p>
      <w:pPr>
        <w:numPr>
          <w:ilvl w:val="0"/>
          <w:numId w:val="2"/>
        </w:numPr>
        <w:bidi w:val="0"/>
        <w:rPr>
          <w:rFonts w:hint="eastAsia"/>
          <w:highlight w:val="none"/>
        </w:rPr>
      </w:pPr>
      <w:r>
        <w:rPr>
          <w:rFonts w:hint="eastAsia"/>
          <w:highlight w:val="none"/>
        </w:rPr>
        <w:t>如乙方未按安全作业相关规定进行施工，甲方有权对乙方收取500元/次的处罚金。</w:t>
      </w:r>
    </w:p>
    <w:p>
      <w:pPr>
        <w:overflowPunct w:val="0"/>
        <w:spacing w:line="600" w:lineRule="exact"/>
        <w:ind w:firstLine="640" w:firstLineChars="200"/>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第</w:t>
      </w:r>
      <w:r>
        <w:rPr>
          <w:rFonts w:hint="eastAsia" w:ascii="方正黑体_GBK" w:hAnsi="方正黑体_GBK" w:eastAsia="方正黑体_GBK" w:cs="方正黑体_GBK"/>
          <w:b w:val="0"/>
          <w:bCs w:val="0"/>
          <w:color w:val="auto"/>
          <w:kern w:val="0"/>
          <w:sz w:val="32"/>
          <w:szCs w:val="32"/>
          <w:highlight w:val="none"/>
          <w:lang w:eastAsia="zh-CN"/>
        </w:rPr>
        <w:t>九</w:t>
      </w:r>
      <w:r>
        <w:rPr>
          <w:rFonts w:hint="eastAsia" w:ascii="方正黑体_GBK" w:hAnsi="方正黑体_GBK" w:eastAsia="方正黑体_GBK" w:cs="方正黑体_GBK"/>
          <w:b w:val="0"/>
          <w:bCs w:val="0"/>
          <w:color w:val="auto"/>
          <w:kern w:val="0"/>
          <w:sz w:val="32"/>
          <w:szCs w:val="32"/>
          <w:highlight w:val="none"/>
        </w:rPr>
        <w:t>条  乙方权利和责任</w:t>
      </w:r>
    </w:p>
    <w:p>
      <w:pPr>
        <w:bidi w:val="0"/>
        <w:rPr>
          <w:rFonts w:hint="eastAsia"/>
          <w:highlight w:val="none"/>
        </w:rPr>
      </w:pPr>
      <w:r>
        <w:rPr>
          <w:rFonts w:hint="eastAsia"/>
          <w:highlight w:val="none"/>
        </w:rPr>
        <w:t>1、乙方应遵守甲方的相关管理规定，并根据甲方要求，保质保量完成服务范围内的工作，确保转运站生产的正常运行。</w:t>
      </w:r>
    </w:p>
    <w:p>
      <w:pPr>
        <w:bidi w:val="0"/>
        <w:rPr>
          <w:rFonts w:hint="eastAsia"/>
          <w:highlight w:val="none"/>
        </w:rPr>
      </w:pPr>
      <w:r>
        <w:rPr>
          <w:rFonts w:hint="eastAsia"/>
          <w:highlight w:val="none"/>
        </w:rPr>
        <w:t>2、乙方应严格按照有关规章制度对设备进行维保，乙方在维保工作中的安全生产事故由乙方自行负责。</w:t>
      </w:r>
    </w:p>
    <w:p>
      <w:pPr>
        <w:bidi w:val="0"/>
        <w:rPr>
          <w:rFonts w:hint="eastAsia"/>
          <w:highlight w:val="none"/>
        </w:rPr>
      </w:pPr>
      <w:r>
        <w:rPr>
          <w:rFonts w:hint="eastAsia"/>
          <w:highlight w:val="none"/>
        </w:rPr>
        <w:t>3、乙方必须在甲方设备计划停机时间内对设备进行保养，对维保不及时造成甲方损失的，由乙方承担责任。</w:t>
      </w:r>
    </w:p>
    <w:p>
      <w:pPr>
        <w:bidi w:val="0"/>
        <w:rPr>
          <w:rFonts w:hint="eastAsia"/>
          <w:highlight w:val="none"/>
        </w:rPr>
      </w:pPr>
      <w:r>
        <w:rPr>
          <w:rFonts w:hint="eastAsia"/>
          <w:highlight w:val="none"/>
        </w:rPr>
        <w:t>4、乙方在维保协议设备时所派出维修人员，损坏甲方所提供的维保设备时，由乙方负责对该设备进行修复和赔偿。</w:t>
      </w:r>
    </w:p>
    <w:p>
      <w:pPr>
        <w:bidi w:val="0"/>
        <w:rPr>
          <w:rFonts w:hint="eastAsia"/>
          <w:highlight w:val="none"/>
        </w:rPr>
      </w:pPr>
      <w:r>
        <w:rPr>
          <w:rFonts w:hint="eastAsia"/>
          <w:highlight w:val="none"/>
        </w:rPr>
        <w:t>5、乙方有义务向甲方提供维保设备的维护的有关技术资料。</w:t>
      </w:r>
    </w:p>
    <w:p>
      <w:pPr>
        <w:bidi w:val="0"/>
        <w:rPr>
          <w:rFonts w:hint="eastAsia"/>
          <w:highlight w:val="none"/>
        </w:rPr>
      </w:pPr>
      <w:r>
        <w:rPr>
          <w:rFonts w:hint="eastAsia"/>
          <w:highlight w:val="none"/>
        </w:rPr>
        <w:t>6、如甲方未按照本协议约定按时支付维保费用，则乙方有权终止本协议，不再承担相关责任，并追收甲方应向乙方交纳的乙方已履行项目发生的费用，由此产生的一切后果应由甲方负责。</w:t>
      </w:r>
    </w:p>
    <w:p>
      <w:pPr>
        <w:bidi w:val="0"/>
        <w:rPr>
          <w:rFonts w:hint="eastAsia"/>
          <w:highlight w:val="none"/>
        </w:rPr>
      </w:pPr>
      <w:r>
        <w:rPr>
          <w:rFonts w:hint="eastAsia"/>
          <w:highlight w:val="none"/>
        </w:rPr>
        <w:t>7、工作期间，乙方服务人员必须穿戴统一的工作服和防护用品。</w:t>
      </w:r>
    </w:p>
    <w:p>
      <w:pPr>
        <w:bidi w:val="0"/>
        <w:rPr>
          <w:rFonts w:hint="eastAsia"/>
          <w:highlight w:val="none"/>
        </w:rPr>
      </w:pPr>
      <w:r>
        <w:rPr>
          <w:rFonts w:hint="eastAsia"/>
          <w:highlight w:val="none"/>
        </w:rPr>
        <w:t>8、在作业区内，严禁抽烟、闲聊、吃零食，阅读书报或做与维修维保服务工作无关的事，上班前不允许喝酒。</w:t>
      </w:r>
    </w:p>
    <w:p>
      <w:pPr>
        <w:bidi w:val="0"/>
        <w:rPr>
          <w:rFonts w:hint="eastAsia"/>
          <w:highlight w:val="none"/>
        </w:rPr>
      </w:pPr>
      <w:r>
        <w:rPr>
          <w:rFonts w:hint="eastAsia"/>
          <w:highlight w:val="none"/>
        </w:rPr>
        <w:t>9、在作业区域内，正确使用安全帽，谨防高空坠物砸伤。</w:t>
      </w:r>
    </w:p>
    <w:p>
      <w:pPr>
        <w:bidi w:val="0"/>
        <w:rPr>
          <w:rFonts w:hint="eastAsia"/>
          <w:highlight w:val="none"/>
        </w:rPr>
      </w:pPr>
      <w:r>
        <w:rPr>
          <w:rFonts w:hint="eastAsia"/>
          <w:highlight w:val="none"/>
        </w:rPr>
        <w:t>10、维保维修服务作业结束时，应收拾工具、整理场地后，方可离场，工具应按规定位置摆放，不得随意堆放。</w:t>
      </w:r>
    </w:p>
    <w:p>
      <w:pPr>
        <w:bidi w:val="0"/>
        <w:rPr>
          <w:rFonts w:hint="eastAsia"/>
          <w:highlight w:val="none"/>
        </w:rPr>
      </w:pPr>
      <w:r>
        <w:rPr>
          <w:rFonts w:hint="eastAsia"/>
          <w:highlight w:val="none"/>
        </w:rPr>
        <w:t>11、乙方应做好乙方人员职业病防范工作并承担由职业病造成的一切责任。</w:t>
      </w:r>
    </w:p>
    <w:p>
      <w:pPr>
        <w:bidi w:val="0"/>
        <w:rPr>
          <w:rFonts w:hint="eastAsia"/>
          <w:highlight w:val="none"/>
          <w:lang w:val="en-US" w:eastAsia="zh-CN"/>
        </w:rPr>
      </w:pPr>
      <w:r>
        <w:rPr>
          <w:rFonts w:hint="eastAsia"/>
          <w:highlight w:val="none"/>
          <w:lang w:val="en-US" w:eastAsia="zh-CN"/>
        </w:rPr>
        <w:t>12、乙方应根据甲方轨道式集装箱门式起重机实际使用情况，主动联系甲方，对设备进行维保。</w:t>
      </w:r>
    </w:p>
    <w:p>
      <w:pPr>
        <w:overflowPunct w:val="0"/>
        <w:spacing w:line="600" w:lineRule="exact"/>
        <w:ind w:firstLine="640" w:firstLineChars="200"/>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第</w:t>
      </w:r>
      <w:r>
        <w:rPr>
          <w:rFonts w:hint="eastAsia" w:ascii="方正黑体_GBK" w:hAnsi="方正黑体_GBK" w:eastAsia="方正黑体_GBK" w:cs="方正黑体_GBK"/>
          <w:b w:val="0"/>
          <w:bCs w:val="0"/>
          <w:color w:val="auto"/>
          <w:kern w:val="0"/>
          <w:sz w:val="32"/>
          <w:szCs w:val="32"/>
          <w:highlight w:val="none"/>
          <w:lang w:eastAsia="zh-CN"/>
        </w:rPr>
        <w:t>十</w:t>
      </w:r>
      <w:r>
        <w:rPr>
          <w:rFonts w:hint="eastAsia" w:ascii="方正黑体_GBK" w:hAnsi="方正黑体_GBK" w:eastAsia="方正黑体_GBK" w:cs="方正黑体_GBK"/>
          <w:b w:val="0"/>
          <w:bCs w:val="0"/>
          <w:color w:val="auto"/>
          <w:kern w:val="0"/>
          <w:sz w:val="32"/>
          <w:szCs w:val="32"/>
          <w:highlight w:val="none"/>
        </w:rPr>
        <w:t>条  安全责任</w:t>
      </w:r>
    </w:p>
    <w:p>
      <w:pPr>
        <w:bidi w:val="0"/>
        <w:rPr>
          <w:rFonts w:hint="eastAsia"/>
          <w:highlight w:val="none"/>
        </w:rPr>
      </w:pPr>
      <w:r>
        <w:rPr>
          <w:rFonts w:hint="eastAsia"/>
          <w:highlight w:val="none"/>
          <w:lang w:val="en-US" w:eastAsia="zh-CN"/>
        </w:rPr>
        <w:t>乙方必须高度重视安全生产，合同履职期内，乙方应按照国家相关法律法规的要求、甲方的各项管理规定以及相关质量标准、操作规程稳妥开展维修维保服务，并采取各种有效的安全防控措施，通过人防、技防、物防相结合，做好管理区域内安全防控工作。发生安全事故乙方应立即进行应急处置，并及时向甲方报告情况，所产生的一切费用由乙方支付并负责善后工作。乙方必须自行购买工人社会保险，如未购买，乙方对所产生的责任自行负责。</w:t>
      </w:r>
    </w:p>
    <w:p>
      <w:pPr>
        <w:overflowPunct w:val="0"/>
        <w:spacing w:line="600" w:lineRule="exact"/>
        <w:ind w:firstLine="640" w:firstLineChars="200"/>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第十</w:t>
      </w:r>
      <w:r>
        <w:rPr>
          <w:rFonts w:hint="eastAsia" w:ascii="方正黑体_GBK" w:hAnsi="方正黑体_GBK" w:eastAsia="方正黑体_GBK" w:cs="方正黑体_GBK"/>
          <w:b w:val="0"/>
          <w:bCs w:val="0"/>
          <w:color w:val="auto"/>
          <w:kern w:val="0"/>
          <w:sz w:val="32"/>
          <w:szCs w:val="32"/>
          <w:highlight w:val="none"/>
          <w:lang w:eastAsia="zh-CN"/>
        </w:rPr>
        <w:t>一</w:t>
      </w:r>
      <w:r>
        <w:rPr>
          <w:rFonts w:hint="eastAsia" w:ascii="方正黑体_GBK" w:hAnsi="方正黑体_GBK" w:eastAsia="方正黑体_GBK" w:cs="方正黑体_GBK"/>
          <w:b w:val="0"/>
          <w:bCs w:val="0"/>
          <w:color w:val="auto"/>
          <w:kern w:val="0"/>
          <w:sz w:val="32"/>
          <w:szCs w:val="32"/>
          <w:highlight w:val="none"/>
        </w:rPr>
        <w:t>条  合同的终止</w:t>
      </w:r>
    </w:p>
    <w:p>
      <w:pPr>
        <w:bidi w:val="0"/>
        <w:rPr>
          <w:rFonts w:hint="eastAsia"/>
          <w:highlight w:val="none"/>
          <w:lang w:val="en-US" w:eastAsia="zh-CN"/>
        </w:rPr>
      </w:pPr>
      <w:r>
        <w:rPr>
          <w:rFonts w:hint="eastAsia"/>
          <w:highlight w:val="none"/>
        </w:rPr>
        <w:t>1、</w:t>
      </w:r>
      <w:r>
        <w:rPr>
          <w:rFonts w:hint="eastAsia"/>
          <w:highlight w:val="none"/>
          <w:lang w:val="en-US" w:eastAsia="zh-CN"/>
        </w:rPr>
        <w:t>签订合同后，乙方须按照本合规定投入相应的人员及设备，逾期不到位的，甲方有权立即终止合同。</w:t>
      </w:r>
    </w:p>
    <w:p>
      <w:pPr>
        <w:bidi w:val="0"/>
        <w:rPr>
          <w:rFonts w:hint="eastAsia"/>
          <w:highlight w:val="none"/>
          <w:lang w:val="en-US" w:eastAsia="zh-CN"/>
        </w:rPr>
      </w:pPr>
      <w:r>
        <w:rPr>
          <w:rFonts w:hint="eastAsia"/>
          <w:highlight w:val="none"/>
          <w:lang w:val="en-US" w:eastAsia="zh-CN"/>
        </w:rPr>
        <w:t>2、合同期内，如乙方未按照本合同履行相关义务造成恶劣影响或甲方设备直接损失，由乙方负责承担甲方损失并承担法律责任，同时甲方有权终止本协议。</w:t>
      </w:r>
    </w:p>
    <w:p>
      <w:pPr>
        <w:bidi w:val="0"/>
        <w:rPr>
          <w:rFonts w:hint="eastAsia"/>
          <w:highlight w:val="none"/>
          <w:lang w:val="en-US" w:eastAsia="zh-CN"/>
        </w:rPr>
      </w:pPr>
      <w:r>
        <w:rPr>
          <w:rFonts w:hint="eastAsia"/>
          <w:highlight w:val="none"/>
          <w:lang w:val="en-US" w:eastAsia="zh-CN"/>
        </w:rPr>
        <w:t>3、合同期内，若因乙方原因发生的安全事故，由乙方承担一切责任和担负全部损失赔偿。</w:t>
      </w:r>
    </w:p>
    <w:p>
      <w:pPr>
        <w:bidi w:val="0"/>
        <w:rPr>
          <w:rFonts w:hint="eastAsia"/>
          <w:highlight w:val="none"/>
          <w:lang w:val="en-US" w:eastAsia="zh-CN"/>
        </w:rPr>
      </w:pPr>
      <w:r>
        <w:rPr>
          <w:rFonts w:hint="eastAsia"/>
          <w:highlight w:val="none"/>
          <w:lang w:val="en-US" w:eastAsia="zh-CN"/>
        </w:rPr>
        <w:t>4、乙方因自身原因需解除合同的，应提前一个月以上书面向甲方提出终止合同申请。提出终止合同后，乙方须继续履行合同直至甲方同意为止。</w:t>
      </w:r>
    </w:p>
    <w:p>
      <w:pPr>
        <w:overflowPunct w:val="0"/>
        <w:spacing w:line="600" w:lineRule="exact"/>
        <w:ind w:firstLine="640" w:firstLineChars="200"/>
        <w:rPr>
          <w:rFonts w:hint="eastAsia" w:ascii="方正仿宋_GBK" w:hAnsi="方正仿宋_GBK" w:eastAsia="方正仿宋_GBK" w:cs="方正仿宋_GBK"/>
          <w:b w:val="0"/>
          <w:bCs w:val="0"/>
          <w:color w:val="auto"/>
          <w:spacing w:val="0"/>
          <w:w w:val="100"/>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lang w:val="en-US" w:eastAsia="zh-CN"/>
        </w:rPr>
        <w:t>第十二条</w:t>
      </w:r>
      <w:r>
        <w:rPr>
          <w:rFonts w:hint="eastAsia" w:ascii="方正仿宋_GBK" w:hAnsi="方正仿宋_GBK" w:eastAsia="方正仿宋_GBK" w:cs="方正仿宋_GBK"/>
          <w:b w:val="0"/>
          <w:bCs w:val="0"/>
          <w:color w:val="auto"/>
          <w:spacing w:val="0"/>
          <w:w w:val="100"/>
          <w:kern w:val="0"/>
          <w:sz w:val="32"/>
          <w:szCs w:val="32"/>
          <w:highlight w:val="none"/>
          <w:lang w:val="en-US" w:eastAsia="zh-CN" w:bidi="ar-SA"/>
        </w:rPr>
        <w:t xml:space="preserve">  </w:t>
      </w:r>
      <w:r>
        <w:rPr>
          <w:rFonts w:hint="eastAsia" w:ascii="Times New Roman" w:hAnsi="Times New Roman" w:eastAsia="宋体"/>
          <w:highlight w:val="none"/>
          <w:lang w:val="en-US" w:eastAsia="zh-CN"/>
        </w:rPr>
        <w:t>未尽事宜，由甲乙双方协商解决，并可签订补充协议，补充协议与本合同具同等效力。合同履行期间，遇不可抗力致使合同无法履行的，双方应按有关法律规定及时协商解决。</w:t>
      </w:r>
    </w:p>
    <w:p>
      <w:pPr>
        <w:overflowPunct w:val="0"/>
        <w:spacing w:line="600" w:lineRule="exact"/>
        <w:ind w:firstLine="640" w:firstLineChars="200"/>
        <w:rPr>
          <w:rFonts w:hint="eastAsia" w:ascii="方正仿宋_GBK" w:hAnsi="方正仿宋_GBK" w:eastAsia="方正仿宋_GBK" w:cs="方正仿宋_GBK"/>
          <w:b w:val="0"/>
          <w:bCs w:val="0"/>
          <w:color w:val="auto"/>
          <w:spacing w:val="0"/>
          <w:w w:val="100"/>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lang w:val="en-US" w:eastAsia="zh-CN"/>
        </w:rPr>
        <w:t>第十三条</w:t>
      </w:r>
      <w:r>
        <w:rPr>
          <w:rFonts w:hint="eastAsia" w:ascii="方正仿宋_GBK" w:hAnsi="方正仿宋_GBK" w:eastAsia="方正仿宋_GBK" w:cs="方正仿宋_GBK"/>
          <w:b w:val="0"/>
          <w:bCs w:val="0"/>
          <w:color w:val="auto"/>
          <w:spacing w:val="0"/>
          <w:w w:val="100"/>
          <w:kern w:val="0"/>
          <w:sz w:val="32"/>
          <w:szCs w:val="32"/>
          <w:highlight w:val="none"/>
          <w:lang w:val="en-US" w:eastAsia="zh-CN" w:bidi="ar-SA"/>
        </w:rPr>
        <w:t xml:space="preserve">  </w:t>
      </w:r>
      <w:r>
        <w:rPr>
          <w:rFonts w:hint="eastAsia" w:ascii="Times New Roman" w:hAnsi="Times New Roman" w:eastAsia="宋体"/>
          <w:highlight w:val="none"/>
          <w:lang w:val="en-US" w:eastAsia="zh-CN"/>
        </w:rPr>
        <w:t>本合同一式四份，甲方执两份，乙方执两份，双方签字盖章生效后，具同等法律效力。</w:t>
      </w:r>
    </w:p>
    <w:p>
      <w:pPr>
        <w:bidi w:val="0"/>
        <w:rPr>
          <w:rFonts w:hint="eastAsia"/>
          <w:highlight w:val="none"/>
          <w:lang w:val="en-US" w:eastAsia="zh-CN"/>
        </w:rPr>
      </w:pPr>
    </w:p>
    <w:p>
      <w:pPr>
        <w:bidi w:val="0"/>
        <w:rPr>
          <w:rFonts w:hint="eastAsia"/>
          <w:highlight w:val="none"/>
          <w:lang w:val="en-US" w:eastAsia="zh-CN"/>
        </w:rPr>
      </w:pPr>
      <w:r>
        <w:rPr>
          <w:rFonts w:hint="eastAsia"/>
          <w:highlight w:val="none"/>
          <w:lang w:val="en-US" w:eastAsia="zh-CN"/>
        </w:rPr>
        <w:t>甲方（盖章）：                        乙方（盖章）：</w:t>
      </w:r>
    </w:p>
    <w:p>
      <w:pPr>
        <w:bidi w:val="0"/>
        <w:rPr>
          <w:rFonts w:hint="eastAsia"/>
          <w:highlight w:val="none"/>
          <w:lang w:val="en-US" w:eastAsia="zh-CN"/>
        </w:rPr>
      </w:pPr>
      <w:r>
        <w:rPr>
          <w:rFonts w:hint="eastAsia"/>
          <w:highlight w:val="none"/>
          <w:lang w:val="en-US" w:eastAsia="zh-CN"/>
        </w:rPr>
        <w:t>公司负责人（签字）                   公司负责人（签字）：</w:t>
      </w:r>
    </w:p>
    <w:p>
      <w:pPr>
        <w:bidi w:val="0"/>
        <w:rPr>
          <w:rFonts w:hint="eastAsia"/>
          <w:highlight w:val="none"/>
          <w:lang w:val="en-US" w:eastAsia="zh-CN"/>
        </w:rPr>
      </w:pPr>
      <w:r>
        <w:rPr>
          <w:rFonts w:hint="eastAsia"/>
          <w:highlight w:val="none"/>
          <w:lang w:val="en-US" w:eastAsia="zh-CN"/>
        </w:rPr>
        <w:t>联系人及电话：                        联系人及电话：</w:t>
      </w:r>
    </w:p>
    <w:p>
      <w:pPr>
        <w:bidi w:val="0"/>
        <w:rPr>
          <w:rFonts w:hint="eastAsia"/>
          <w:highlight w:val="none"/>
        </w:rPr>
      </w:pPr>
      <w:r>
        <w:rPr>
          <w:rFonts w:hint="eastAsia"/>
          <w:highlight w:val="none"/>
          <w:lang w:val="en-US" w:eastAsia="zh-CN"/>
        </w:rPr>
        <w:t xml:space="preserve">年  月  日 </w:t>
      </w:r>
      <w:r>
        <w:rPr>
          <w:rFonts w:hint="eastAsia"/>
          <w:highlight w:val="none"/>
          <w:lang w:val="en-US" w:eastAsia="zh-CN"/>
        </w:rPr>
        <w:tab/>
      </w:r>
      <w:r>
        <w:rPr>
          <w:rFonts w:hint="eastAsia"/>
          <w:highlight w:val="none"/>
          <w:lang w:val="en-US" w:eastAsia="zh-CN"/>
        </w:rPr>
        <w:t xml:space="preserve">                        年  月  日 </w:t>
      </w:r>
    </w:p>
    <w:p>
      <w:pPr>
        <w:ind w:firstLine="482"/>
        <w:rPr>
          <w:rFonts w:hint="default" w:ascii="方正小标宋_GBK" w:hAnsi="方正小标宋_GBK" w:eastAsia="方正小标宋_GBK" w:cs="方正小标宋_GBK"/>
          <w:b w:val="0"/>
          <w:bCs w:val="0"/>
          <w:color w:val="auto"/>
          <w:kern w:val="2"/>
          <w:sz w:val="32"/>
          <w:szCs w:val="32"/>
          <w:highlight w:val="none"/>
          <w:lang w:val="en-US" w:eastAsia="zh-CN"/>
        </w:rPr>
      </w:pPr>
      <w:r>
        <w:rPr>
          <w:rFonts w:hint="eastAsia" w:ascii="宋体" w:hAnsi="宋体" w:cs="宋体"/>
          <w:b/>
          <w:kern w:val="0"/>
          <w:highlight w:val="none"/>
        </w:rPr>
        <w:br w:type="page"/>
      </w:r>
    </w:p>
    <w:p>
      <w:pPr>
        <w:pStyle w:val="26"/>
        <w:keepNext w:val="0"/>
        <w:keepLines w:val="0"/>
        <w:pageBreakBefore w:val="0"/>
        <w:widowControl w:val="0"/>
        <w:kinsoku/>
        <w:wordWrap/>
        <w:overflowPunct/>
        <w:topLinePunct w:val="0"/>
        <w:autoSpaceDE w:val="0"/>
        <w:autoSpaceDN w:val="0"/>
        <w:bidi w:val="0"/>
        <w:adjustRightInd w:val="0"/>
        <w:snapToGrid/>
        <w:spacing w:line="720" w:lineRule="exact"/>
        <w:jc w:val="center"/>
        <w:textAlignment w:val="auto"/>
        <w:rPr>
          <w:rFonts w:hint="eastAsia" w:ascii="方正小标宋_GBK" w:hAnsi="方正小标宋_GBK" w:eastAsia="方正小标宋_GBK" w:cs="方正小标宋_GBK"/>
          <w:b w:val="0"/>
          <w:bCs w:val="0"/>
          <w:color w:val="auto"/>
          <w:kern w:val="2"/>
          <w:sz w:val="32"/>
          <w:szCs w:val="32"/>
          <w:highlight w:val="none"/>
          <w:lang w:eastAsia="zh-CN"/>
        </w:rPr>
      </w:pPr>
      <w:r>
        <w:rPr>
          <w:rFonts w:hint="eastAsia" w:ascii="方正小标宋_GBK" w:hAnsi="方正小标宋_GBK" w:eastAsia="方正小标宋_GBK" w:cs="方正小标宋_GBK"/>
          <w:b w:val="0"/>
          <w:bCs w:val="0"/>
          <w:color w:val="auto"/>
          <w:kern w:val="2"/>
          <w:sz w:val="32"/>
          <w:szCs w:val="32"/>
          <w:highlight w:val="none"/>
        </w:rPr>
        <w:t>重庆</w:t>
      </w:r>
      <w:r>
        <w:rPr>
          <w:rFonts w:hint="eastAsia" w:ascii="方正小标宋_GBK" w:hAnsi="方正小标宋_GBK" w:eastAsia="方正小标宋_GBK" w:cs="方正小标宋_GBK"/>
          <w:b w:val="0"/>
          <w:bCs w:val="0"/>
          <w:color w:val="auto"/>
          <w:kern w:val="2"/>
          <w:sz w:val="32"/>
          <w:szCs w:val="32"/>
          <w:highlight w:val="none"/>
          <w:lang w:eastAsia="zh-CN"/>
        </w:rPr>
        <w:t>益渝节能环保科技</w:t>
      </w:r>
      <w:r>
        <w:rPr>
          <w:rFonts w:hint="eastAsia" w:ascii="方正小标宋_GBK" w:hAnsi="方正小标宋_GBK" w:eastAsia="方正小标宋_GBK" w:cs="方正小标宋_GBK"/>
          <w:b w:val="0"/>
          <w:bCs w:val="0"/>
          <w:color w:val="auto"/>
          <w:kern w:val="2"/>
          <w:sz w:val="32"/>
          <w:szCs w:val="32"/>
          <w:highlight w:val="none"/>
        </w:rPr>
        <w:t>有限公司</w:t>
      </w:r>
      <w:r>
        <w:rPr>
          <w:rFonts w:hint="eastAsia" w:ascii="方正小标宋_GBK" w:hAnsi="方正小标宋_GBK" w:eastAsia="方正小标宋_GBK" w:cs="方正小标宋_GBK"/>
          <w:b w:val="0"/>
          <w:bCs w:val="0"/>
          <w:color w:val="auto"/>
          <w:kern w:val="2"/>
          <w:sz w:val="32"/>
          <w:szCs w:val="32"/>
          <w:highlight w:val="none"/>
          <w:lang w:eastAsia="zh-CN"/>
        </w:rPr>
        <w:t>长寿益畅分公司</w:t>
      </w:r>
    </w:p>
    <w:p>
      <w:pPr>
        <w:pStyle w:val="26"/>
        <w:keepNext w:val="0"/>
        <w:keepLines w:val="0"/>
        <w:pageBreakBefore w:val="0"/>
        <w:widowControl w:val="0"/>
        <w:kinsoku/>
        <w:wordWrap/>
        <w:overflowPunct/>
        <w:topLinePunct w:val="0"/>
        <w:autoSpaceDE w:val="0"/>
        <w:autoSpaceDN w:val="0"/>
        <w:bidi w:val="0"/>
        <w:adjustRightInd w:val="0"/>
        <w:snapToGrid/>
        <w:spacing w:line="720" w:lineRule="exact"/>
        <w:ind w:left="420"/>
        <w:jc w:val="center"/>
        <w:textAlignment w:val="auto"/>
        <w:rPr>
          <w:rFonts w:hint="eastAsia" w:ascii="方正小标宋_GBK" w:hAnsi="方正小标宋_GBK" w:eastAsia="方正小标宋_GBK" w:cs="方正小标宋_GBK"/>
          <w:b w:val="0"/>
          <w:bCs w:val="0"/>
          <w:color w:val="auto"/>
          <w:kern w:val="2"/>
          <w:sz w:val="32"/>
          <w:szCs w:val="32"/>
          <w:highlight w:val="none"/>
        </w:rPr>
      </w:pPr>
      <w:r>
        <w:rPr>
          <w:rFonts w:hint="eastAsia" w:ascii="方正小标宋_GBK" w:hAnsi="方正小标宋_GBK" w:eastAsia="方正小标宋_GBK" w:cs="方正小标宋_GBK"/>
          <w:b w:val="0"/>
          <w:bCs w:val="0"/>
          <w:color w:val="auto"/>
          <w:kern w:val="2"/>
          <w:sz w:val="32"/>
          <w:szCs w:val="32"/>
          <w:highlight w:val="none"/>
        </w:rPr>
        <w:t>安全协议书</w:t>
      </w:r>
    </w:p>
    <w:p>
      <w:pPr>
        <w:pStyle w:val="26"/>
        <w:pageBreakBefore w:val="0"/>
        <w:kinsoku/>
        <w:bidi w:val="0"/>
        <w:spacing w:line="360" w:lineRule="auto"/>
        <w:jc w:val="center"/>
        <w:textAlignment w:val="auto"/>
        <w:rPr>
          <w:rFonts w:hint="eastAsia" w:ascii="宋体" w:hAnsi="宋体" w:eastAsia="宋体" w:cs="宋体"/>
          <w:b/>
          <w:sz w:val="24"/>
          <w:szCs w:val="24"/>
          <w:highlight w:val="none"/>
        </w:rPr>
      </w:pPr>
    </w:p>
    <w:p>
      <w:pPr>
        <w:pStyle w:val="26"/>
        <w:pageBreakBefore w:val="0"/>
        <w:kinsoku/>
        <w:bidi w:val="0"/>
        <w:spacing w:line="360" w:lineRule="auto"/>
        <w:jc w:val="center"/>
        <w:textAlignment w:val="auto"/>
        <w:rPr>
          <w:rFonts w:hint="eastAsia" w:ascii="宋体" w:hAnsi="宋体" w:eastAsia="宋体" w:cs="宋体"/>
          <w:b/>
          <w:sz w:val="24"/>
          <w:szCs w:val="24"/>
          <w:highlight w:val="none"/>
        </w:rPr>
      </w:pPr>
    </w:p>
    <w:p>
      <w:pPr>
        <w:pStyle w:val="26"/>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甲方：重庆</w:t>
      </w:r>
      <w:r>
        <w:rPr>
          <w:rFonts w:hint="eastAsia" w:ascii="宋体" w:hAnsi="宋体" w:eastAsia="宋体" w:cs="宋体"/>
          <w:color w:val="auto"/>
          <w:kern w:val="2"/>
          <w:sz w:val="24"/>
          <w:szCs w:val="24"/>
          <w:highlight w:val="none"/>
          <w:lang w:eastAsia="zh-CN"/>
        </w:rPr>
        <w:t>益渝节能环保科技</w:t>
      </w:r>
      <w:r>
        <w:rPr>
          <w:rFonts w:hint="eastAsia" w:ascii="宋体" w:hAnsi="宋体" w:eastAsia="宋体" w:cs="宋体"/>
          <w:color w:val="auto"/>
          <w:kern w:val="2"/>
          <w:sz w:val="24"/>
          <w:szCs w:val="24"/>
          <w:highlight w:val="none"/>
        </w:rPr>
        <w:t>有限公司</w:t>
      </w:r>
      <w:r>
        <w:rPr>
          <w:rFonts w:hint="eastAsia" w:ascii="宋体" w:hAnsi="宋体" w:eastAsia="宋体" w:cs="宋体"/>
          <w:color w:val="auto"/>
          <w:kern w:val="2"/>
          <w:sz w:val="24"/>
          <w:szCs w:val="24"/>
          <w:highlight w:val="none"/>
          <w:lang w:eastAsia="zh-CN"/>
        </w:rPr>
        <w:t>长寿益畅分公司</w:t>
      </w:r>
    </w:p>
    <w:p>
      <w:pPr>
        <w:pStyle w:val="26"/>
        <w:keepNext w:val="0"/>
        <w:keepLines w:val="0"/>
        <w:pageBreakBefore w:val="0"/>
        <w:widowControl w:val="0"/>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乙方：</w:t>
      </w:r>
    </w:p>
    <w:p>
      <w:pPr>
        <w:pStyle w:val="26"/>
        <w:keepNext w:val="0"/>
        <w:keepLines w:val="0"/>
        <w:pageBreakBefore w:val="0"/>
        <w:widowControl w:val="0"/>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eastAsia="zh-CN"/>
        </w:rPr>
        <w:t>工作</w:t>
      </w:r>
      <w:r>
        <w:rPr>
          <w:rFonts w:hint="eastAsia" w:ascii="宋体" w:hAnsi="宋体" w:eastAsia="宋体" w:cs="宋体"/>
          <w:color w:val="auto"/>
          <w:kern w:val="2"/>
          <w:sz w:val="24"/>
          <w:szCs w:val="24"/>
          <w:highlight w:val="none"/>
        </w:rPr>
        <w:t>地点：</w:t>
      </w:r>
    </w:p>
    <w:p>
      <w:pPr>
        <w:pStyle w:val="26"/>
        <w:keepNext w:val="0"/>
        <w:keepLines w:val="0"/>
        <w:pageBreakBefore w:val="0"/>
        <w:widowControl w:val="0"/>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333333"/>
          <w:sz w:val="24"/>
          <w:szCs w:val="24"/>
          <w:highlight w:val="none"/>
          <w:u w:val="single"/>
          <w:shd w:val="clear" w:color="auto" w:fill="FFFFFF"/>
          <w:lang w:val="en-US" w:eastAsia="zh-CN"/>
        </w:rPr>
      </w:pPr>
      <w:r>
        <w:rPr>
          <w:rFonts w:hint="eastAsia" w:ascii="宋体" w:hAnsi="宋体" w:eastAsia="宋体" w:cs="宋体"/>
          <w:color w:val="auto"/>
          <w:kern w:val="2"/>
          <w:sz w:val="24"/>
          <w:szCs w:val="24"/>
          <w:highlight w:val="none"/>
          <w:lang w:eastAsia="zh-CN"/>
        </w:rPr>
        <w:t>工作</w:t>
      </w:r>
      <w:r>
        <w:rPr>
          <w:rFonts w:hint="eastAsia" w:ascii="宋体" w:hAnsi="宋体" w:eastAsia="宋体" w:cs="宋体"/>
          <w:color w:val="auto"/>
          <w:kern w:val="2"/>
          <w:sz w:val="24"/>
          <w:szCs w:val="24"/>
          <w:highlight w:val="none"/>
        </w:rPr>
        <w:t>内容：</w:t>
      </w:r>
      <w:r>
        <w:rPr>
          <w:rFonts w:hint="eastAsia" w:ascii="宋体" w:hAnsi="宋体" w:eastAsia="宋体" w:cs="宋体"/>
          <w:kern w:val="0"/>
          <w:sz w:val="24"/>
          <w:szCs w:val="24"/>
          <w:highlight w:val="none"/>
          <w:u w:val="single"/>
          <w:lang w:val="en-US" w:eastAsia="zh-CN"/>
        </w:rPr>
        <w:t xml:space="preserve">                    </w:t>
      </w:r>
    </w:p>
    <w:p>
      <w:pPr>
        <w:pStyle w:val="26"/>
        <w:keepNext w:val="0"/>
        <w:keepLines w:val="0"/>
        <w:pageBreakBefore w:val="0"/>
        <w:widowControl w:val="0"/>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工作</w:t>
      </w:r>
      <w:r>
        <w:rPr>
          <w:rFonts w:hint="eastAsia" w:ascii="宋体" w:hAnsi="宋体" w:eastAsia="宋体" w:cs="宋体"/>
          <w:color w:val="auto"/>
          <w:kern w:val="2"/>
          <w:sz w:val="24"/>
          <w:szCs w:val="24"/>
          <w:highlight w:val="none"/>
        </w:rPr>
        <w:t>期限：</w:t>
      </w:r>
      <w:r>
        <w:rPr>
          <w:rFonts w:hint="eastAsia" w:ascii="宋体" w:hAnsi="宋体" w:eastAsia="宋体" w:cs="宋体"/>
          <w:color w:val="auto"/>
          <w:kern w:val="2"/>
          <w:sz w:val="24"/>
          <w:szCs w:val="24"/>
          <w:highlight w:val="none"/>
          <w:u w:val="single"/>
          <w:lang w:val="en-US" w:eastAsia="zh-CN"/>
        </w:rPr>
        <w:t xml:space="preserve">                    </w:t>
      </w:r>
    </w:p>
    <w:p>
      <w:pPr>
        <w:pStyle w:val="26"/>
        <w:keepNext w:val="0"/>
        <w:keepLines w:val="0"/>
        <w:pageBreakBefore w:val="0"/>
        <w:widowControl w:val="0"/>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为贯彻“安全第一、预防为主、综合管理“的方针，保障人员生命安全和身体健康，杜绝各类安全事故的发生，根据</w:t>
      </w:r>
      <w:r>
        <w:rPr>
          <w:rFonts w:hint="eastAsia" w:ascii="宋体" w:hAnsi="宋体" w:eastAsia="宋体" w:cs="宋体"/>
          <w:sz w:val="24"/>
          <w:szCs w:val="24"/>
          <w:highlight w:val="none"/>
        </w:rPr>
        <w:t>根据《中华人民共和国安全生产法》等相关法律法规，经双方商定，达成如下协议：</w:t>
      </w:r>
    </w:p>
    <w:p>
      <w:pPr>
        <w:pStyle w:val="10"/>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一、甲方是项目业主单位，对</w:t>
      </w:r>
      <w:r>
        <w:rPr>
          <w:rFonts w:hint="eastAsia" w:ascii="宋体" w:hAnsi="宋体" w:eastAsia="宋体" w:cs="宋体"/>
          <w:color w:val="auto"/>
          <w:sz w:val="24"/>
          <w:szCs w:val="24"/>
          <w:highlight w:val="none"/>
          <w:lang w:eastAsia="zh-CN"/>
        </w:rPr>
        <w:t>乙方服务</w:t>
      </w:r>
      <w:r>
        <w:rPr>
          <w:rFonts w:hint="eastAsia" w:ascii="宋体" w:hAnsi="宋体" w:eastAsia="宋体" w:cs="宋体"/>
          <w:color w:val="auto"/>
          <w:sz w:val="24"/>
          <w:szCs w:val="24"/>
          <w:highlight w:val="none"/>
        </w:rPr>
        <w:t>期间的安全生产进行监督管理，审查乙方的安全资质，纠正乙方人员违规行为，督促乙方对安全隐患进行整改。</w:t>
      </w:r>
    </w:p>
    <w:p>
      <w:pPr>
        <w:pStyle w:val="10"/>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二、乙方是项目</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安全责任主体负</w:t>
      </w:r>
      <w:r>
        <w:rPr>
          <w:rFonts w:hint="eastAsia" w:ascii="宋体" w:hAnsi="宋体" w:eastAsia="宋体" w:cs="宋体"/>
          <w:color w:val="auto"/>
          <w:sz w:val="24"/>
          <w:szCs w:val="24"/>
          <w:highlight w:val="none"/>
          <w:lang w:eastAsia="zh-CN"/>
        </w:rPr>
        <w:t>相应的</w:t>
      </w:r>
      <w:r>
        <w:rPr>
          <w:rFonts w:hint="eastAsia" w:ascii="宋体" w:hAnsi="宋体" w:eastAsia="宋体" w:cs="宋体"/>
          <w:color w:val="auto"/>
          <w:sz w:val="24"/>
          <w:szCs w:val="24"/>
          <w:highlight w:val="none"/>
        </w:rPr>
        <w:t>安全责任；对项目</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中发生的安全、环保事故（事件），行政处罚等承担</w:t>
      </w:r>
      <w:r>
        <w:rPr>
          <w:rFonts w:hint="eastAsia" w:ascii="宋体" w:hAnsi="宋体" w:eastAsia="宋体" w:cs="宋体"/>
          <w:color w:val="auto"/>
          <w:sz w:val="24"/>
          <w:szCs w:val="24"/>
          <w:highlight w:val="none"/>
          <w:lang w:eastAsia="zh-CN"/>
        </w:rPr>
        <w:t>相应的</w:t>
      </w:r>
      <w:r>
        <w:rPr>
          <w:rFonts w:hint="eastAsia" w:ascii="宋体" w:hAnsi="宋体" w:eastAsia="宋体" w:cs="宋体"/>
          <w:color w:val="333333"/>
          <w:kern w:val="0"/>
          <w:sz w:val="24"/>
          <w:szCs w:val="24"/>
          <w:highlight w:val="none"/>
        </w:rPr>
        <w:t>法律</w:t>
      </w:r>
      <w:r>
        <w:rPr>
          <w:rFonts w:hint="eastAsia" w:ascii="宋体" w:hAnsi="宋体" w:eastAsia="宋体" w:cs="宋体"/>
          <w:color w:val="auto"/>
          <w:sz w:val="24"/>
          <w:szCs w:val="24"/>
          <w:highlight w:val="none"/>
        </w:rPr>
        <w:t>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经济责任</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保障足够必要的安全投入；为作业人员配备必要的安全防护用品，并督促正确穿戴或使用</w:t>
      </w:r>
      <w:r>
        <w:rPr>
          <w:rFonts w:hint="eastAsia" w:ascii="宋体" w:hAnsi="宋体" w:eastAsia="宋体" w:cs="宋体"/>
          <w:b w:val="0"/>
          <w:bCs w:val="0"/>
          <w:color w:val="auto"/>
          <w:sz w:val="24"/>
          <w:szCs w:val="24"/>
          <w:highlight w:val="none"/>
        </w:rPr>
        <w:t>。</w:t>
      </w:r>
    </w:p>
    <w:p>
      <w:pPr>
        <w:pStyle w:val="2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三、乙方在作业前应确定作业范围，禁止乙方超越范围进行</w:t>
      </w:r>
    </w:p>
    <w:p>
      <w:pPr>
        <w:pStyle w:val="26"/>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作业，否则，由乙方承担</w:t>
      </w:r>
      <w:r>
        <w:rPr>
          <w:rFonts w:hint="eastAsia" w:ascii="宋体" w:hAnsi="宋体" w:eastAsia="宋体" w:cs="宋体"/>
          <w:color w:val="auto"/>
          <w:kern w:val="2"/>
          <w:sz w:val="24"/>
          <w:szCs w:val="24"/>
          <w:highlight w:val="none"/>
          <w:lang w:eastAsia="zh-CN"/>
        </w:rPr>
        <w:t>相应</w:t>
      </w:r>
      <w:r>
        <w:rPr>
          <w:rFonts w:hint="eastAsia" w:ascii="宋体" w:hAnsi="宋体" w:eastAsia="宋体" w:cs="宋体"/>
          <w:color w:val="auto"/>
          <w:kern w:val="2"/>
          <w:sz w:val="24"/>
          <w:szCs w:val="24"/>
          <w:highlight w:val="none"/>
        </w:rPr>
        <w:t xml:space="preserve">责任。 </w:t>
      </w:r>
    </w:p>
    <w:p>
      <w:pPr>
        <w:pStyle w:val="26"/>
        <w:keepNext w:val="0"/>
        <w:keepLines w:val="0"/>
        <w:pageBreakBefore w:val="0"/>
        <w:widowControl w:val="0"/>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四、乙方在甲方区域内作业，应要严格遵守国家有关法律、</w:t>
      </w:r>
    </w:p>
    <w:p>
      <w:pPr>
        <w:pStyle w:val="26"/>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法规的规定及甲方的各项管理规定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建立有效可靠的安全管理和安全防护措施，避免对甲方造成安全影响</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因乙方作业防护措施不利造成的损失，由乙方承担。</w:t>
      </w:r>
    </w:p>
    <w:p>
      <w:pPr>
        <w:pStyle w:val="26"/>
        <w:keepNext w:val="0"/>
        <w:keepLines w:val="0"/>
        <w:pageBreakBefore w:val="0"/>
        <w:widowControl w:val="0"/>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五、乙方特种作业人员须取得特种作业合格证书，并确保证书经过定期复审，始终处于有效期内。</w:t>
      </w:r>
    </w:p>
    <w:p>
      <w:pPr>
        <w:pStyle w:val="26"/>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六</w:t>
      </w:r>
      <w:r>
        <w:rPr>
          <w:rFonts w:hint="eastAsia" w:ascii="宋体" w:hAnsi="宋体" w:eastAsia="宋体" w:cs="宋体"/>
          <w:color w:val="auto"/>
          <w:kern w:val="2"/>
          <w:sz w:val="24"/>
          <w:szCs w:val="24"/>
          <w:highlight w:val="none"/>
        </w:rPr>
        <w:t>、在协议期限内，乙方</w:t>
      </w:r>
      <w:r>
        <w:rPr>
          <w:rFonts w:hint="eastAsia" w:ascii="宋体" w:hAnsi="宋体" w:eastAsia="宋体" w:cs="宋体"/>
          <w:color w:val="auto"/>
          <w:kern w:val="2"/>
          <w:sz w:val="24"/>
          <w:szCs w:val="24"/>
          <w:highlight w:val="none"/>
          <w:lang w:eastAsia="zh-CN"/>
        </w:rPr>
        <w:t>现场</w:t>
      </w:r>
      <w:r>
        <w:rPr>
          <w:rFonts w:hint="eastAsia" w:ascii="宋体" w:hAnsi="宋体" w:eastAsia="宋体" w:cs="宋体"/>
          <w:color w:val="auto"/>
          <w:kern w:val="2"/>
          <w:sz w:val="24"/>
          <w:szCs w:val="24"/>
          <w:highlight w:val="none"/>
        </w:rPr>
        <w:t>负责人要对</w:t>
      </w:r>
      <w:r>
        <w:rPr>
          <w:rFonts w:hint="eastAsia" w:ascii="宋体" w:hAnsi="宋体" w:eastAsia="宋体" w:cs="宋体"/>
          <w:color w:val="auto"/>
          <w:kern w:val="2"/>
          <w:sz w:val="24"/>
          <w:szCs w:val="24"/>
          <w:highlight w:val="none"/>
          <w:lang w:eastAsia="zh-CN"/>
        </w:rPr>
        <w:t>作业</w:t>
      </w:r>
      <w:r>
        <w:rPr>
          <w:rFonts w:hint="eastAsia" w:ascii="宋体" w:hAnsi="宋体" w:eastAsia="宋体" w:cs="宋体"/>
          <w:color w:val="auto"/>
          <w:kern w:val="2"/>
          <w:sz w:val="24"/>
          <w:szCs w:val="24"/>
          <w:highlight w:val="none"/>
        </w:rPr>
        <w:t>现场进行检查，如发现安全隐患，要及时进行整改。对于有可能对甲方造成影响的问题，乙方要及时向甲方通报。</w:t>
      </w:r>
    </w:p>
    <w:p>
      <w:pPr>
        <w:pStyle w:val="26"/>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七</w:t>
      </w:r>
      <w:r>
        <w:rPr>
          <w:rFonts w:hint="eastAsia" w:ascii="宋体" w:hAnsi="宋体" w:eastAsia="宋体" w:cs="宋体"/>
          <w:color w:val="auto"/>
          <w:kern w:val="2"/>
          <w:sz w:val="24"/>
          <w:szCs w:val="24"/>
          <w:highlight w:val="none"/>
        </w:rPr>
        <w:t>、乙方应遵守国家有关环保的法律规定，因作业产生的噪</w:t>
      </w:r>
    </w:p>
    <w:p>
      <w:pPr>
        <w:pStyle w:val="26"/>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声等污染排放应控制在国家标准规定的范围内，并按照环保的有关规定处理因作业产生的化学品废弃物和垃圾，避免造成环境影响和环境污染。甲方可随时对作业现场进行检测和评价。</w:t>
      </w:r>
    </w:p>
    <w:p>
      <w:pPr>
        <w:pStyle w:val="26"/>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八</w:t>
      </w:r>
      <w:r>
        <w:rPr>
          <w:rFonts w:hint="eastAsia" w:ascii="宋体" w:hAnsi="宋体" w:eastAsia="宋体" w:cs="宋体"/>
          <w:color w:val="auto"/>
          <w:kern w:val="2"/>
          <w:sz w:val="24"/>
          <w:szCs w:val="24"/>
          <w:highlight w:val="none"/>
        </w:rPr>
        <w:t>、乙方在作业中使用易燃、易爆品，应向甲方提前通报，</w:t>
      </w:r>
    </w:p>
    <w:p>
      <w:pPr>
        <w:pStyle w:val="26"/>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并办理危险作业手续。在作业中，乙方应采取可靠有效的安全措施，保证作业现场的安全。</w:t>
      </w:r>
    </w:p>
    <w:p>
      <w:pPr>
        <w:pStyle w:val="26"/>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九</w:t>
      </w:r>
      <w:r>
        <w:rPr>
          <w:rFonts w:hint="eastAsia" w:ascii="宋体" w:hAnsi="宋体" w:eastAsia="宋体" w:cs="宋体"/>
          <w:color w:val="auto"/>
          <w:kern w:val="2"/>
          <w:sz w:val="24"/>
          <w:szCs w:val="24"/>
          <w:highlight w:val="none"/>
        </w:rPr>
        <w:t>、甲方提供的电源、水源，应符合国家的标准规定。乙方</w:t>
      </w:r>
    </w:p>
    <w:p>
      <w:pPr>
        <w:pStyle w:val="26"/>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使用甲方的电气及线路，必须遵守国家及政府电力管理部门的规定和要求，必须规范防范措施和监护措施。</w:t>
      </w:r>
    </w:p>
    <w:p>
      <w:pPr>
        <w:pStyle w:val="26"/>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十</w:t>
      </w:r>
      <w:r>
        <w:rPr>
          <w:rFonts w:hint="eastAsia" w:ascii="宋体" w:hAnsi="宋体" w:eastAsia="宋体" w:cs="宋体"/>
          <w:color w:val="auto"/>
          <w:kern w:val="2"/>
          <w:sz w:val="24"/>
          <w:szCs w:val="24"/>
          <w:highlight w:val="none"/>
        </w:rPr>
        <w:t>、乙方在甲方区域中进行明火作业、高空作业</w:t>
      </w:r>
      <w:r>
        <w:rPr>
          <w:rFonts w:hint="eastAsia" w:ascii="宋体" w:hAnsi="宋体" w:eastAsia="宋体" w:cs="宋体"/>
          <w:color w:val="auto"/>
          <w:kern w:val="2"/>
          <w:sz w:val="24"/>
          <w:szCs w:val="24"/>
          <w:highlight w:val="none"/>
          <w:lang w:eastAsia="zh-CN"/>
        </w:rPr>
        <w:t>、有限空间等高危作业</w:t>
      </w:r>
      <w:r>
        <w:rPr>
          <w:rFonts w:hint="eastAsia" w:ascii="宋体" w:hAnsi="宋体" w:eastAsia="宋体" w:cs="宋体"/>
          <w:color w:val="auto"/>
          <w:kern w:val="2"/>
          <w:sz w:val="24"/>
          <w:szCs w:val="24"/>
          <w:highlight w:val="none"/>
        </w:rPr>
        <w:t>，需提前向甲方申请，</w:t>
      </w:r>
      <w:r>
        <w:rPr>
          <w:rFonts w:hint="eastAsia" w:ascii="宋体" w:hAnsi="宋体" w:eastAsia="宋体" w:cs="宋体"/>
          <w:color w:val="auto"/>
          <w:kern w:val="2"/>
          <w:sz w:val="24"/>
          <w:szCs w:val="24"/>
          <w:highlight w:val="none"/>
          <w:lang w:eastAsia="zh-CN"/>
        </w:rPr>
        <w:t>安排监护人员，落实防范措施，</w:t>
      </w:r>
      <w:r>
        <w:rPr>
          <w:rFonts w:hint="eastAsia" w:ascii="宋体" w:hAnsi="宋体" w:eastAsia="宋体" w:cs="宋体"/>
          <w:color w:val="auto"/>
          <w:kern w:val="2"/>
          <w:sz w:val="24"/>
          <w:szCs w:val="24"/>
          <w:highlight w:val="none"/>
        </w:rPr>
        <w:t>得到甲方许可并办理《作业证》后方可进行作业，否则，甲方有权</w:t>
      </w:r>
      <w:r>
        <w:rPr>
          <w:rFonts w:hint="eastAsia" w:ascii="宋体" w:hAnsi="宋体" w:eastAsia="宋体" w:cs="宋体"/>
          <w:color w:val="auto"/>
          <w:kern w:val="2"/>
          <w:sz w:val="24"/>
          <w:szCs w:val="24"/>
          <w:highlight w:val="none"/>
          <w:lang w:eastAsia="zh-CN"/>
        </w:rPr>
        <w:t>要求乙方</w:t>
      </w:r>
      <w:r>
        <w:rPr>
          <w:rFonts w:hint="eastAsia" w:ascii="宋体" w:hAnsi="宋体" w:eastAsia="宋体" w:cs="宋体"/>
          <w:color w:val="auto"/>
          <w:kern w:val="2"/>
          <w:sz w:val="24"/>
          <w:szCs w:val="24"/>
          <w:highlight w:val="none"/>
        </w:rPr>
        <w:t>停止作业，对于造成的责任及后果由乙方承担。</w:t>
      </w:r>
    </w:p>
    <w:p>
      <w:pPr>
        <w:pStyle w:val="26"/>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w:t>
      </w:r>
      <w:r>
        <w:rPr>
          <w:rFonts w:hint="eastAsia" w:ascii="宋体" w:hAnsi="宋体" w:eastAsia="宋体" w:cs="宋体"/>
          <w:color w:val="auto"/>
          <w:kern w:val="2"/>
          <w:sz w:val="24"/>
          <w:szCs w:val="24"/>
          <w:highlight w:val="none"/>
          <w:lang w:eastAsia="zh-CN"/>
        </w:rPr>
        <w:t>一</w:t>
      </w:r>
      <w:r>
        <w:rPr>
          <w:rFonts w:hint="eastAsia" w:ascii="宋体" w:hAnsi="宋体" w:eastAsia="宋体" w:cs="宋体"/>
          <w:color w:val="auto"/>
          <w:kern w:val="2"/>
          <w:sz w:val="24"/>
          <w:szCs w:val="24"/>
          <w:highlight w:val="none"/>
        </w:rPr>
        <w:t>、乙方需要甲方配合时，需提前提出配合要求，甲方根</w:t>
      </w:r>
    </w:p>
    <w:p>
      <w:pPr>
        <w:pStyle w:val="26"/>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据国家的有关规定为乙方提供帮助。 </w:t>
      </w:r>
    </w:p>
    <w:p>
      <w:pPr>
        <w:pStyle w:val="26"/>
        <w:keepNext w:val="0"/>
        <w:keepLines w:val="0"/>
        <w:pageBreakBefore w:val="0"/>
        <w:widowControl w:val="0"/>
        <w:numPr>
          <w:ilvl w:val="0"/>
          <w:numId w:val="0"/>
        </w:numPr>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十二、</w:t>
      </w:r>
      <w:r>
        <w:rPr>
          <w:rFonts w:hint="eastAsia" w:ascii="宋体" w:hAnsi="宋体" w:eastAsia="宋体" w:cs="宋体"/>
          <w:color w:val="auto"/>
          <w:kern w:val="2"/>
          <w:sz w:val="24"/>
          <w:szCs w:val="24"/>
          <w:highlight w:val="none"/>
        </w:rPr>
        <w:t>甲方现场</w:t>
      </w:r>
      <w:r>
        <w:rPr>
          <w:rFonts w:hint="eastAsia" w:ascii="宋体" w:hAnsi="宋体" w:eastAsia="宋体" w:cs="宋体"/>
          <w:color w:val="auto"/>
          <w:kern w:val="2"/>
          <w:sz w:val="24"/>
          <w:szCs w:val="24"/>
          <w:highlight w:val="none"/>
          <w:lang w:eastAsia="zh-CN"/>
        </w:rPr>
        <w:t>安全责任</w:t>
      </w:r>
      <w:r>
        <w:rPr>
          <w:rFonts w:hint="eastAsia" w:ascii="宋体" w:hAnsi="宋体" w:eastAsia="宋体" w:cs="宋体"/>
          <w:color w:val="auto"/>
          <w:kern w:val="2"/>
          <w:sz w:val="24"/>
          <w:szCs w:val="24"/>
          <w:highlight w:val="none"/>
        </w:rPr>
        <w:t>人随时对乙方</w:t>
      </w:r>
      <w:r>
        <w:rPr>
          <w:rFonts w:hint="eastAsia" w:ascii="宋体" w:hAnsi="宋体" w:eastAsia="宋体" w:cs="宋体"/>
          <w:color w:val="auto"/>
          <w:kern w:val="2"/>
          <w:sz w:val="24"/>
          <w:szCs w:val="24"/>
          <w:highlight w:val="none"/>
          <w:lang w:eastAsia="zh-CN"/>
        </w:rPr>
        <w:t>作业</w:t>
      </w:r>
      <w:r>
        <w:rPr>
          <w:rFonts w:hint="eastAsia" w:ascii="宋体" w:hAnsi="宋体" w:eastAsia="宋体" w:cs="宋体"/>
          <w:color w:val="auto"/>
          <w:kern w:val="2"/>
          <w:sz w:val="24"/>
          <w:szCs w:val="24"/>
          <w:highlight w:val="none"/>
        </w:rPr>
        <w:t>现场安全进行监督、检查，</w:t>
      </w:r>
      <w:r>
        <w:rPr>
          <w:rFonts w:hint="eastAsia" w:ascii="宋体" w:hAnsi="宋体" w:eastAsia="宋体" w:cs="宋体"/>
          <w:color w:val="auto"/>
          <w:kern w:val="2"/>
          <w:sz w:val="24"/>
          <w:szCs w:val="24"/>
          <w:highlight w:val="none"/>
          <w:lang w:eastAsia="zh-CN"/>
        </w:rPr>
        <w:t>作业</w:t>
      </w:r>
      <w:r>
        <w:rPr>
          <w:rFonts w:hint="eastAsia" w:ascii="宋体" w:hAnsi="宋体" w:eastAsia="宋体" w:cs="宋体"/>
          <w:color w:val="auto"/>
          <w:kern w:val="2"/>
          <w:sz w:val="24"/>
          <w:szCs w:val="24"/>
          <w:highlight w:val="none"/>
        </w:rPr>
        <w:t>中如因乙方违反了国家及甲方有关安全管理规定，甲方有权</w:t>
      </w:r>
      <w:r>
        <w:rPr>
          <w:rFonts w:hint="eastAsia" w:ascii="宋体" w:hAnsi="宋体" w:eastAsia="宋体" w:cs="宋体"/>
          <w:color w:val="auto"/>
          <w:kern w:val="2"/>
          <w:sz w:val="24"/>
          <w:szCs w:val="24"/>
          <w:highlight w:val="none"/>
          <w:lang w:eastAsia="zh-CN"/>
        </w:rPr>
        <w:t>要求乙方</w:t>
      </w:r>
      <w:r>
        <w:rPr>
          <w:rFonts w:hint="eastAsia" w:ascii="宋体" w:hAnsi="宋体" w:eastAsia="宋体" w:cs="宋体"/>
          <w:color w:val="auto"/>
          <w:kern w:val="2"/>
          <w:sz w:val="24"/>
          <w:szCs w:val="24"/>
          <w:highlight w:val="none"/>
        </w:rPr>
        <w:t>立即停止作业，由此造成的安全事故及损失由乙方承担。</w:t>
      </w:r>
    </w:p>
    <w:p>
      <w:pPr>
        <w:pStyle w:val="26"/>
        <w:keepNext w:val="0"/>
        <w:keepLines w:val="0"/>
        <w:pageBreakBefore w:val="0"/>
        <w:widowControl w:val="0"/>
        <w:numPr>
          <w:ilvl w:val="0"/>
          <w:numId w:val="0"/>
        </w:numPr>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十三、</w:t>
      </w:r>
      <w:r>
        <w:rPr>
          <w:rFonts w:hint="eastAsia" w:ascii="宋体" w:hAnsi="宋体" w:eastAsia="宋体" w:cs="宋体"/>
          <w:color w:val="auto"/>
          <w:kern w:val="2"/>
          <w:sz w:val="24"/>
          <w:szCs w:val="24"/>
          <w:highlight w:val="none"/>
          <w:lang w:eastAsia="zh-CN"/>
        </w:rPr>
        <w:t>如作业过程中发生生产安全事故，甲乙双方按照各自职责承担相应责任。</w:t>
      </w:r>
    </w:p>
    <w:p>
      <w:pPr>
        <w:pStyle w:val="26"/>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十</w:t>
      </w:r>
      <w:r>
        <w:rPr>
          <w:rFonts w:hint="eastAsia" w:ascii="宋体" w:hAnsi="宋体" w:eastAsia="宋体" w:cs="宋体"/>
          <w:color w:val="auto"/>
          <w:kern w:val="2"/>
          <w:sz w:val="24"/>
          <w:szCs w:val="24"/>
          <w:highlight w:val="none"/>
          <w:lang w:eastAsia="zh-CN"/>
        </w:rPr>
        <w:t>四</w:t>
      </w:r>
      <w:r>
        <w:rPr>
          <w:rFonts w:hint="eastAsia" w:ascii="宋体" w:hAnsi="宋体" w:eastAsia="宋体" w:cs="宋体"/>
          <w:color w:val="auto"/>
          <w:kern w:val="2"/>
          <w:sz w:val="24"/>
          <w:szCs w:val="24"/>
          <w:highlight w:val="none"/>
        </w:rPr>
        <w:t>、甲方现场安全责任人：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eastAsia="zh-CN"/>
        </w:rPr>
        <w:t>；</w:t>
      </w: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；乙方现场安全责任人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联系电话：</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pPr>
        <w:pStyle w:val="26"/>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w:t>
      </w:r>
      <w:r>
        <w:rPr>
          <w:rFonts w:hint="eastAsia" w:ascii="宋体" w:hAnsi="宋体" w:eastAsia="宋体" w:cs="宋体"/>
          <w:color w:val="auto"/>
          <w:kern w:val="2"/>
          <w:sz w:val="24"/>
          <w:szCs w:val="24"/>
          <w:highlight w:val="none"/>
          <w:lang w:eastAsia="zh-CN"/>
        </w:rPr>
        <w:t>五</w:t>
      </w:r>
      <w:r>
        <w:rPr>
          <w:rFonts w:hint="eastAsia" w:ascii="宋体" w:hAnsi="宋体" w:eastAsia="宋体" w:cs="宋体"/>
          <w:color w:val="auto"/>
          <w:kern w:val="2"/>
          <w:sz w:val="24"/>
          <w:szCs w:val="24"/>
          <w:highlight w:val="none"/>
        </w:rPr>
        <w:t>、本协议一式</w:t>
      </w:r>
      <w:r>
        <w:rPr>
          <w:rFonts w:hint="eastAsia" w:ascii="宋体" w:hAnsi="宋体" w:eastAsia="宋体" w:cs="宋体"/>
          <w:color w:val="auto"/>
          <w:kern w:val="2"/>
          <w:sz w:val="24"/>
          <w:szCs w:val="24"/>
          <w:highlight w:val="none"/>
          <w:lang w:eastAsia="zh-CN"/>
        </w:rPr>
        <w:t>肆</w:t>
      </w:r>
      <w:r>
        <w:rPr>
          <w:rFonts w:hint="eastAsia" w:ascii="宋体" w:hAnsi="宋体" w:eastAsia="宋体" w:cs="宋体"/>
          <w:color w:val="auto"/>
          <w:kern w:val="2"/>
          <w:sz w:val="24"/>
          <w:szCs w:val="24"/>
          <w:highlight w:val="none"/>
        </w:rPr>
        <w:t>份，甲、乙双方各执</w:t>
      </w:r>
      <w:r>
        <w:rPr>
          <w:rFonts w:hint="eastAsia" w:ascii="宋体" w:hAnsi="宋体" w:eastAsia="宋体" w:cs="宋体"/>
          <w:color w:val="auto"/>
          <w:kern w:val="2"/>
          <w:sz w:val="24"/>
          <w:szCs w:val="24"/>
          <w:highlight w:val="none"/>
          <w:lang w:eastAsia="zh-CN"/>
        </w:rPr>
        <w:t>贰</w:t>
      </w:r>
      <w:r>
        <w:rPr>
          <w:rFonts w:hint="eastAsia" w:ascii="宋体" w:hAnsi="宋体" w:eastAsia="宋体" w:cs="宋体"/>
          <w:color w:val="auto"/>
          <w:kern w:val="2"/>
          <w:sz w:val="24"/>
          <w:szCs w:val="24"/>
          <w:highlight w:val="none"/>
        </w:rPr>
        <w:t xml:space="preserve">份，在有效期限内生效。 </w:t>
      </w:r>
    </w:p>
    <w:p>
      <w:pPr>
        <w:pStyle w:val="26"/>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kern w:val="2"/>
          <w:sz w:val="24"/>
          <w:szCs w:val="24"/>
          <w:highlight w:val="none"/>
        </w:rPr>
      </w:pPr>
    </w:p>
    <w:p>
      <w:pPr>
        <w:pStyle w:val="26"/>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kern w:val="2"/>
          <w:sz w:val="24"/>
          <w:szCs w:val="24"/>
          <w:highlight w:val="none"/>
        </w:rPr>
      </w:pPr>
    </w:p>
    <w:p>
      <w:pPr>
        <w:pStyle w:val="26"/>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甲方：                      </w:t>
      </w:r>
      <w:r>
        <w:rPr>
          <w:rFonts w:hint="eastAsia" w:ascii="宋体" w:hAnsi="宋体" w:eastAsia="宋体" w:cs="宋体"/>
          <w:color w:val="auto"/>
          <w:kern w:val="2"/>
          <w:sz w:val="24"/>
          <w:szCs w:val="24"/>
          <w:highlight w:val="none"/>
          <w:lang w:val="en-US" w:eastAsia="zh-CN"/>
        </w:rPr>
        <w:t xml:space="preserve">       </w:t>
      </w:r>
      <w:r>
        <w:rPr>
          <w:rFonts w:hint="eastAsia"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乙方：</w:t>
      </w:r>
    </w:p>
    <w:p>
      <w:pPr>
        <w:pStyle w:val="26"/>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lang w:eastAsia="zh-CN"/>
        </w:rPr>
        <w:t>公司</w:t>
      </w:r>
      <w:r>
        <w:rPr>
          <w:rFonts w:hint="eastAsia" w:ascii="宋体" w:hAnsi="宋体" w:eastAsia="宋体" w:cs="宋体"/>
          <w:color w:val="auto"/>
          <w:kern w:val="2"/>
          <w:sz w:val="24"/>
          <w:szCs w:val="24"/>
          <w:highlight w:val="none"/>
        </w:rPr>
        <w:t xml:space="preserve">负责人：                       </w:t>
      </w:r>
      <w:r>
        <w:rPr>
          <w:rFonts w:hint="eastAsia" w:hAnsi="宋体" w:cs="宋体"/>
          <w:color w:val="auto"/>
          <w:kern w:val="2"/>
          <w:sz w:val="24"/>
          <w:szCs w:val="24"/>
          <w:highlight w:val="none"/>
          <w:lang w:val="en-US" w:eastAsia="zh-CN"/>
        </w:rPr>
        <w:t xml:space="preserve">                  </w:t>
      </w:r>
      <w:r>
        <w:rPr>
          <w:rFonts w:hint="eastAsia" w:hAnsi="宋体" w:cs="宋体"/>
          <w:color w:val="auto"/>
          <w:kern w:val="2"/>
          <w:sz w:val="24"/>
          <w:szCs w:val="24"/>
          <w:highlight w:val="none"/>
          <w:lang w:eastAsia="zh-CN"/>
        </w:rPr>
        <w:t>公司</w:t>
      </w:r>
      <w:r>
        <w:rPr>
          <w:rFonts w:hint="eastAsia" w:ascii="宋体" w:hAnsi="宋体" w:eastAsia="宋体" w:cs="宋体"/>
          <w:color w:val="auto"/>
          <w:kern w:val="2"/>
          <w:sz w:val="24"/>
          <w:szCs w:val="24"/>
          <w:highlight w:val="none"/>
        </w:rPr>
        <w:t>负责人：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rPr>
        <w:t xml:space="preserve">年   月   日                   </w:t>
      </w: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年   月   日</w:t>
      </w:r>
    </w:p>
    <w:p>
      <w:pPr>
        <w:pageBreakBefore w:val="0"/>
        <w:kinsoku/>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8"/>
          <w:szCs w:val="28"/>
          <w:highlight w:val="none"/>
          <w:lang w:val="en-US" w:eastAsia="zh-CN"/>
        </w:rPr>
        <w:br w:type="page"/>
      </w:r>
    </w:p>
    <w:p>
      <w:pPr>
        <w:ind w:firstLine="480"/>
        <w:rPr>
          <w:rFonts w:ascii="宋体" w:hAnsi="宋体" w:cs="宋体"/>
          <w:bCs/>
          <w:highlight w:val="none"/>
        </w:rPr>
      </w:pPr>
    </w:p>
    <w:p>
      <w:pPr>
        <w:ind w:firstLine="562"/>
        <w:jc w:val="center"/>
        <w:rPr>
          <w:rFonts w:ascii="宋体" w:hAnsi="宋体" w:cs="宋体"/>
          <w:b/>
          <w:sz w:val="28"/>
          <w:szCs w:val="28"/>
          <w:highlight w:val="none"/>
        </w:rPr>
      </w:pPr>
      <w:r>
        <w:rPr>
          <w:rFonts w:hint="eastAsia" w:ascii="宋体" w:hAnsi="宋体" w:cs="宋体"/>
          <w:b/>
          <w:sz w:val="28"/>
          <w:szCs w:val="28"/>
          <w:highlight w:val="none"/>
        </w:rPr>
        <w:t>重庆益渝节能环保科技有限公司长寿益畅分公司采购廉政合同</w:t>
      </w:r>
    </w:p>
    <w:p>
      <w:pPr>
        <w:ind w:firstLine="482"/>
        <w:jc w:val="center"/>
        <w:rPr>
          <w:rFonts w:ascii="宋体" w:hAnsi="宋体" w:cs="宋体"/>
          <w:b/>
          <w:highlight w:val="none"/>
        </w:rPr>
      </w:pPr>
    </w:p>
    <w:p>
      <w:pPr>
        <w:ind w:firstLine="482"/>
        <w:rPr>
          <w:rFonts w:hint="eastAsia" w:ascii="宋体" w:hAnsi="宋体" w:cs="宋体"/>
          <w:highlight w:val="none"/>
        </w:rPr>
      </w:pPr>
      <w:r>
        <w:rPr>
          <w:rFonts w:hint="eastAsia" w:ascii="宋体" w:hAnsi="宋体" w:cs="宋体"/>
          <w:b/>
          <w:bCs/>
          <w:highlight w:val="none"/>
        </w:rPr>
        <w:t>甲方（采购单位）：</w:t>
      </w:r>
      <w:r>
        <w:rPr>
          <w:rFonts w:hint="eastAsia" w:ascii="宋体" w:hAnsi="宋体" w:cs="宋体"/>
          <w:highlight w:val="none"/>
        </w:rPr>
        <w:t>重庆益渝节能环保科技有限公司长寿益畅分公司</w:t>
      </w:r>
    </w:p>
    <w:p>
      <w:pPr>
        <w:ind w:firstLine="482"/>
        <w:rPr>
          <w:rFonts w:ascii="宋体" w:hAnsi="宋体" w:cs="宋体"/>
          <w:b/>
          <w:bCs/>
          <w:highlight w:val="none"/>
        </w:rPr>
      </w:pPr>
      <w:r>
        <w:rPr>
          <w:rFonts w:hint="eastAsia" w:ascii="宋体" w:hAnsi="宋体" w:cs="宋体"/>
          <w:b/>
          <w:bCs/>
          <w:highlight w:val="none"/>
        </w:rPr>
        <w:t>乙方（供应单位）：</w:t>
      </w:r>
    </w:p>
    <w:p>
      <w:pPr>
        <w:ind w:firstLine="480"/>
        <w:rPr>
          <w:rFonts w:ascii="宋体" w:hAnsi="宋体" w:cs="宋体"/>
          <w:highlight w:val="none"/>
        </w:rPr>
      </w:pPr>
      <w:r>
        <w:rPr>
          <w:rFonts w:hint="eastAsia" w:ascii="宋体" w:hAnsi="宋体" w:cs="宋体"/>
          <w:highlight w:val="none"/>
        </w:rPr>
        <w:t>为加强物资设备及服务采购供应中的廉政建设，规范、约束采供双方的行为，防止违法违纪和不廉洁问题的发生，维护合同双方合法利益，经双方同意在签订采购合同的同时，签订本廉政合同书。</w:t>
      </w:r>
    </w:p>
    <w:p>
      <w:pPr>
        <w:ind w:firstLine="480"/>
        <w:rPr>
          <w:rFonts w:ascii="宋体" w:hAnsi="宋体" w:cs="宋体"/>
          <w:highlight w:val="none"/>
        </w:rPr>
      </w:pPr>
      <w:r>
        <w:rPr>
          <w:rFonts w:hint="eastAsia" w:ascii="宋体" w:hAnsi="宋体" w:cs="宋体"/>
          <w:highlight w:val="none"/>
        </w:rPr>
        <w:t>一、甲方义务</w:t>
      </w:r>
    </w:p>
    <w:p>
      <w:pPr>
        <w:ind w:firstLineChars="175"/>
        <w:rPr>
          <w:rFonts w:ascii="宋体" w:hAnsi="宋体" w:cs="宋体"/>
          <w:highlight w:val="none"/>
        </w:rPr>
      </w:pPr>
      <w:r>
        <w:rPr>
          <w:rFonts w:hint="eastAsia" w:ascii="宋体" w:hAnsi="宋体" w:cs="宋体"/>
          <w:highlight w:val="none"/>
        </w:rPr>
        <w:t>（一）严格遵守国家政策法令和廉政规定，严格执行招投标和公司《采购管理办法》有关规定实施具体采购行为。</w:t>
      </w:r>
    </w:p>
    <w:p>
      <w:pPr>
        <w:ind w:firstLineChars="175"/>
        <w:rPr>
          <w:rFonts w:ascii="宋体" w:hAnsi="宋体" w:cs="宋体"/>
          <w:highlight w:val="none"/>
        </w:rPr>
      </w:pPr>
      <w:r>
        <w:rPr>
          <w:rFonts w:hint="eastAsia" w:ascii="宋体" w:hAnsi="宋体" w:cs="宋体"/>
          <w:highlight w:val="none"/>
        </w:rPr>
        <w:t>（二）不得向乙方索取或接受乙方任何形式的现金、有价证券、支付凭证和礼品等。</w:t>
      </w:r>
    </w:p>
    <w:p>
      <w:pPr>
        <w:ind w:firstLine="480"/>
        <w:rPr>
          <w:rFonts w:ascii="宋体" w:hAnsi="宋体" w:cs="宋体"/>
          <w:highlight w:val="none"/>
        </w:rPr>
      </w:pPr>
      <w:r>
        <w:rPr>
          <w:rFonts w:hint="eastAsia" w:ascii="宋体" w:hAnsi="宋体" w:cs="宋体"/>
          <w:highlight w:val="none"/>
        </w:rPr>
        <w:t>（三）不得接受乙方提供的公款旅游和高消费健身、娱乐等活动，不得参加乙方组织的有可能影响公正履行合同的宴请等活动。</w:t>
      </w:r>
    </w:p>
    <w:p>
      <w:pPr>
        <w:ind w:firstLine="480"/>
        <w:rPr>
          <w:rFonts w:ascii="宋体" w:hAnsi="宋体" w:cs="宋体"/>
          <w:highlight w:val="none"/>
        </w:rPr>
      </w:pPr>
      <w:r>
        <w:rPr>
          <w:rFonts w:hint="eastAsia" w:ascii="宋体" w:hAnsi="宋体" w:cs="宋体"/>
          <w:highlight w:val="none"/>
        </w:rPr>
        <w:t>（四）不得要求乙方为自己及其亲友的经营活动提供便利条例。</w:t>
      </w:r>
    </w:p>
    <w:p>
      <w:pPr>
        <w:ind w:firstLine="480"/>
        <w:rPr>
          <w:rFonts w:ascii="宋体" w:hAnsi="宋体" w:cs="宋体"/>
          <w:highlight w:val="none"/>
        </w:rPr>
      </w:pPr>
      <w:r>
        <w:rPr>
          <w:rFonts w:hint="eastAsia" w:ascii="宋体" w:hAnsi="宋体" w:cs="宋体"/>
          <w:highlight w:val="none"/>
        </w:rPr>
        <w:t>（五）不得在乙方合同签订、验收、付款等正常按约履行时为索取合同约定以外的费用而推诿扯皮、借故刁难。</w:t>
      </w:r>
    </w:p>
    <w:p>
      <w:pPr>
        <w:ind w:firstLine="480"/>
        <w:rPr>
          <w:rFonts w:ascii="宋体" w:hAnsi="宋体" w:cs="宋体"/>
          <w:highlight w:val="none"/>
        </w:rPr>
      </w:pPr>
      <w:r>
        <w:rPr>
          <w:rFonts w:hint="eastAsia" w:ascii="宋体" w:hAnsi="宋体" w:cs="宋体"/>
          <w:highlight w:val="none"/>
        </w:rPr>
        <w:t>二、乙方义务</w:t>
      </w:r>
    </w:p>
    <w:p>
      <w:pPr>
        <w:ind w:firstLineChars="175"/>
        <w:rPr>
          <w:rFonts w:ascii="宋体" w:hAnsi="宋体" w:cs="宋体"/>
          <w:highlight w:val="none"/>
        </w:rPr>
      </w:pPr>
      <w:r>
        <w:rPr>
          <w:rFonts w:hint="eastAsia" w:ascii="宋体" w:hAnsi="宋体" w:cs="宋体"/>
          <w:highlight w:val="none"/>
        </w:rPr>
        <w:t>（一）不得以任何形式向甲方及其工作人员送礼金、有价证券、支付凭证和礼品等。</w:t>
      </w:r>
    </w:p>
    <w:p>
      <w:pPr>
        <w:ind w:firstLineChars="175"/>
        <w:rPr>
          <w:rFonts w:ascii="宋体" w:hAnsi="宋体" w:cs="宋体"/>
          <w:highlight w:val="none"/>
        </w:rPr>
      </w:pPr>
      <w:r>
        <w:rPr>
          <w:rFonts w:hint="eastAsia" w:ascii="宋体" w:hAnsi="宋体" w:cs="宋体"/>
          <w:highlight w:val="none"/>
        </w:rPr>
        <w:t>（二）不得支付甲方及其工作人员私自以咨询费、劳务费等名义索要各种费用、报销应由甲方个人承担的费用。</w:t>
      </w:r>
    </w:p>
    <w:p>
      <w:pPr>
        <w:ind w:firstLineChars="175"/>
        <w:rPr>
          <w:rFonts w:ascii="宋体" w:hAnsi="宋体" w:cs="宋体"/>
          <w:highlight w:val="none"/>
        </w:rPr>
      </w:pPr>
      <w:r>
        <w:rPr>
          <w:rFonts w:hint="eastAsia" w:ascii="宋体" w:hAnsi="宋体" w:cs="宋体"/>
          <w:highlight w:val="none"/>
        </w:rPr>
        <w:t>（三）不得为甲方及其工作人员提供公款旅游、消费健身娱乐活动，不得利用宴请等活动影响甲方人员公正履行合同。</w:t>
      </w:r>
    </w:p>
    <w:p>
      <w:pPr>
        <w:ind w:firstLineChars="175"/>
        <w:rPr>
          <w:rFonts w:ascii="宋体" w:hAnsi="宋体" w:cs="宋体"/>
          <w:highlight w:val="none"/>
        </w:rPr>
      </w:pPr>
      <w:r>
        <w:rPr>
          <w:rFonts w:hint="eastAsia" w:ascii="宋体" w:hAnsi="宋体" w:cs="宋体"/>
          <w:highlight w:val="none"/>
        </w:rPr>
        <w:t>（四）不得为甲方工作人员及其亲友的营利活动提供便利条件。</w:t>
      </w:r>
    </w:p>
    <w:p>
      <w:pPr>
        <w:ind w:firstLineChars="175"/>
        <w:rPr>
          <w:rFonts w:ascii="宋体" w:hAnsi="宋体" w:cs="宋体"/>
          <w:highlight w:val="none"/>
        </w:rPr>
      </w:pPr>
      <w:r>
        <w:rPr>
          <w:rFonts w:hint="eastAsia" w:ascii="宋体" w:hAnsi="宋体" w:cs="宋体"/>
          <w:highlight w:val="none"/>
        </w:rPr>
        <w:t>（五）不得在合同签订、验收、付款等履行环节为获得便利向甲方任何人支付任何合同约定以外的费用。</w:t>
      </w:r>
    </w:p>
    <w:p>
      <w:pPr>
        <w:ind w:firstLine="480"/>
        <w:rPr>
          <w:rFonts w:ascii="宋体" w:hAnsi="宋体" w:cs="宋体"/>
          <w:highlight w:val="none"/>
        </w:rPr>
      </w:pPr>
      <w:r>
        <w:rPr>
          <w:rFonts w:hint="eastAsia" w:ascii="宋体" w:hAnsi="宋体" w:cs="宋体"/>
          <w:highlight w:val="none"/>
        </w:rPr>
        <w:t xml:space="preserve">    （六）发现甲方工作人员在业务活动中有违规、违纪、违法行为的，应及时提醒对方，情节严重的，应及时向监督部门反映。</w:t>
      </w:r>
    </w:p>
    <w:p>
      <w:pPr>
        <w:ind w:firstLine="480"/>
        <w:rPr>
          <w:rFonts w:ascii="宋体" w:hAnsi="宋体" w:cs="宋体"/>
          <w:bCs/>
          <w:highlight w:val="none"/>
        </w:rPr>
      </w:pPr>
      <w:r>
        <w:rPr>
          <w:rFonts w:hint="eastAsia" w:ascii="宋体" w:hAnsi="宋体" w:cs="宋体"/>
          <w:bCs/>
          <w:highlight w:val="none"/>
        </w:rPr>
        <w:t>三、违责处罚</w:t>
      </w:r>
    </w:p>
    <w:p>
      <w:pPr>
        <w:ind w:firstLine="480"/>
        <w:rPr>
          <w:rFonts w:ascii="宋体" w:hAnsi="宋体" w:cs="宋体"/>
          <w:highlight w:val="none"/>
        </w:rPr>
      </w:pPr>
      <w:r>
        <w:rPr>
          <w:rFonts w:hint="eastAsia" w:ascii="宋体" w:hAnsi="宋体" w:cs="宋体"/>
          <w:highlight w:val="none"/>
        </w:rPr>
        <w:t>（一）甲方工作人员及其家属发生违责行为，一经查实，将依据有关法律法规和规定给与党纪、政纪处分或组织处理；涉嫌犯罪的，移交司法机关追究刑事责任</w:t>
      </w:r>
    </w:p>
    <w:p>
      <w:pPr>
        <w:ind w:firstLine="480"/>
        <w:jc w:val="both"/>
        <w:rPr>
          <w:rFonts w:ascii="宋体" w:hAnsi="宋体" w:cs="宋体"/>
          <w:highlight w:val="none"/>
        </w:rPr>
      </w:pPr>
      <w:r>
        <w:rPr>
          <w:rFonts w:hint="eastAsia" w:ascii="宋体" w:hAnsi="宋体" w:cs="宋体"/>
          <w:highlight w:val="none"/>
        </w:rPr>
        <w:t>（二）乙方发生廉政违责行为，情节严重的，立即停止合同执行，取消乙方继续供货资格，同时甲方有权立即解除合同，并剔除出甲方合作单位名录，取消乙方参与甲方采购项目的资格；涉嫌犯罪的，将移交司法机关追究刑事责任；如乙方行贿行为对甲方单位造成经济损失的，应无条件予以相应金额的损失赔偿。</w:t>
      </w:r>
    </w:p>
    <w:p>
      <w:pPr>
        <w:ind w:firstLine="480"/>
        <w:rPr>
          <w:rFonts w:ascii="宋体" w:hAnsi="宋体" w:cs="宋体"/>
          <w:bCs/>
          <w:highlight w:val="none"/>
        </w:rPr>
      </w:pPr>
    </w:p>
    <w:p>
      <w:pPr>
        <w:ind w:firstLine="480"/>
        <w:rPr>
          <w:rFonts w:ascii="宋体" w:hAnsi="宋体" w:cs="宋体"/>
          <w:bCs/>
          <w:highlight w:val="none"/>
        </w:rPr>
      </w:pPr>
      <w:r>
        <w:rPr>
          <w:rFonts w:hint="eastAsia" w:ascii="宋体" w:hAnsi="宋体" w:cs="宋体"/>
          <w:bCs/>
          <w:highlight w:val="none"/>
        </w:rPr>
        <w:t>四、其他</w:t>
      </w:r>
    </w:p>
    <w:p>
      <w:pPr>
        <w:ind w:firstLine="480"/>
        <w:rPr>
          <w:rFonts w:ascii="宋体" w:hAnsi="宋体" w:cs="宋体"/>
          <w:highlight w:val="none"/>
        </w:rPr>
      </w:pPr>
      <w:r>
        <w:rPr>
          <w:rFonts w:hint="eastAsia" w:ascii="宋体" w:hAnsi="宋体" w:cs="宋体"/>
          <w:highlight w:val="none"/>
        </w:rPr>
        <w:t>（一）监督部门：环卫集团纪律检查室；</w:t>
      </w:r>
    </w:p>
    <w:p>
      <w:pPr>
        <w:ind w:firstLine="480"/>
        <w:rPr>
          <w:rFonts w:ascii="宋体" w:hAnsi="宋体" w:cs="宋体"/>
          <w:highlight w:val="none"/>
        </w:rPr>
      </w:pPr>
      <w:r>
        <w:rPr>
          <w:rFonts w:hint="eastAsia" w:ascii="宋体" w:hAnsi="宋体" w:cs="宋体"/>
          <w:highlight w:val="none"/>
        </w:rPr>
        <w:t>监督举报电话：举报电话67887803;</w:t>
      </w:r>
    </w:p>
    <w:p>
      <w:pPr>
        <w:ind w:firstLine="480"/>
        <w:rPr>
          <w:rFonts w:ascii="宋体" w:hAnsi="宋体" w:cs="宋体"/>
          <w:highlight w:val="none"/>
        </w:rPr>
      </w:pPr>
      <w:r>
        <w:rPr>
          <w:rFonts w:hint="eastAsia" w:ascii="宋体" w:hAnsi="宋体" w:cs="宋体"/>
          <w:highlight w:val="none"/>
        </w:rPr>
        <w:t>监督举报信件地址：重庆市两江新区礼嘉街道金渝大道7号，邮箱编码：401122。</w:t>
      </w:r>
      <w:bookmarkStart w:id="0" w:name="_GoBack"/>
      <w:bookmarkEnd w:id="0"/>
    </w:p>
    <w:p>
      <w:pPr>
        <w:ind w:firstLine="480"/>
        <w:rPr>
          <w:rFonts w:ascii="宋体" w:hAnsi="宋体" w:cs="宋体"/>
          <w:highlight w:val="none"/>
        </w:rPr>
      </w:pPr>
      <w:r>
        <w:rPr>
          <w:rFonts w:hint="eastAsia" w:ascii="宋体" w:hAnsi="宋体" w:cs="宋体"/>
          <w:highlight w:val="none"/>
        </w:rPr>
        <w:t>（二）本合同在甲乙双方签订采购合同时一并签订，并具有同等效力，作为采购合同的附件一并存档。</w:t>
      </w:r>
    </w:p>
    <w:p>
      <w:pPr>
        <w:ind w:firstLine="480"/>
        <w:rPr>
          <w:rFonts w:ascii="宋体" w:hAnsi="宋体" w:cs="宋体"/>
          <w:highlight w:val="none"/>
        </w:rPr>
      </w:pPr>
      <w:r>
        <w:rPr>
          <w:rFonts w:hint="eastAsia" w:ascii="宋体" w:hAnsi="宋体" w:cs="宋体"/>
          <w:highlight w:val="none"/>
        </w:rPr>
        <w:t>本合同一式</w:t>
      </w:r>
      <w:r>
        <w:rPr>
          <w:rFonts w:hint="eastAsia" w:ascii="宋体" w:hAnsi="宋体" w:cs="宋体"/>
          <w:highlight w:val="none"/>
          <w:u w:val="single"/>
        </w:rPr>
        <w:t>肆</w:t>
      </w:r>
      <w:r>
        <w:rPr>
          <w:rFonts w:hint="eastAsia" w:ascii="宋体" w:hAnsi="宋体" w:cs="宋体"/>
          <w:highlight w:val="none"/>
        </w:rPr>
        <w:t>份，甲方执</w:t>
      </w:r>
      <w:r>
        <w:rPr>
          <w:rFonts w:hint="eastAsia" w:ascii="宋体" w:hAnsi="宋体" w:cs="宋体"/>
          <w:highlight w:val="none"/>
          <w:u w:val="single"/>
        </w:rPr>
        <w:t>贰</w:t>
      </w:r>
      <w:r>
        <w:rPr>
          <w:rFonts w:hint="eastAsia" w:ascii="宋体" w:hAnsi="宋体" w:cs="宋体"/>
          <w:highlight w:val="none"/>
        </w:rPr>
        <w:t>份，乙方执</w:t>
      </w:r>
      <w:r>
        <w:rPr>
          <w:rFonts w:hint="eastAsia" w:ascii="宋体" w:hAnsi="宋体" w:cs="宋体"/>
          <w:highlight w:val="none"/>
          <w:u w:val="single"/>
        </w:rPr>
        <w:t>贰</w:t>
      </w:r>
      <w:r>
        <w:rPr>
          <w:rFonts w:hint="eastAsia" w:ascii="宋体" w:hAnsi="宋体" w:cs="宋体"/>
          <w:highlight w:val="none"/>
        </w:rPr>
        <w:t>份。</w:t>
      </w:r>
    </w:p>
    <w:p>
      <w:pPr>
        <w:ind w:firstLine="480"/>
        <w:rPr>
          <w:rFonts w:ascii="宋体" w:hAnsi="宋体" w:cs="宋体"/>
          <w:highlight w:val="none"/>
        </w:rPr>
      </w:pPr>
    </w:p>
    <w:p>
      <w:pPr>
        <w:ind w:firstLine="480"/>
        <w:rPr>
          <w:rFonts w:ascii="宋体" w:hAnsi="宋体" w:cs="宋体"/>
          <w:highlight w:val="none"/>
        </w:rPr>
      </w:pPr>
    </w:p>
    <w:p>
      <w:pPr>
        <w:ind w:firstLine="480"/>
        <w:rPr>
          <w:rFonts w:ascii="宋体" w:hAnsi="宋体" w:cs="宋体"/>
          <w:highlight w:val="none"/>
        </w:rPr>
      </w:pPr>
    </w:p>
    <w:p>
      <w:pPr>
        <w:ind w:firstLine="480"/>
        <w:rPr>
          <w:rFonts w:ascii="宋体" w:hAnsi="宋体" w:cs="宋体"/>
          <w:highlight w:val="none"/>
        </w:rPr>
      </w:pPr>
      <w:r>
        <w:rPr>
          <w:rFonts w:hint="eastAsia" w:ascii="宋体" w:hAnsi="宋体" w:cs="宋体"/>
          <w:highlight w:val="none"/>
        </w:rPr>
        <w:t xml:space="preserve">甲方（盖章）：                   </w:t>
      </w:r>
      <w:r>
        <w:rPr>
          <w:rFonts w:hint="eastAsia" w:ascii="宋体" w:hAnsi="宋体" w:cs="宋体"/>
          <w:highlight w:val="none"/>
          <w:lang w:val="en-US" w:eastAsia="zh-CN"/>
        </w:rPr>
        <w:t xml:space="preserve">      </w:t>
      </w:r>
      <w:r>
        <w:rPr>
          <w:rFonts w:hint="eastAsia" w:ascii="宋体" w:hAnsi="宋体" w:cs="宋体"/>
          <w:highlight w:val="none"/>
        </w:rPr>
        <w:t xml:space="preserve">乙方（盖章）：    </w:t>
      </w:r>
    </w:p>
    <w:p>
      <w:pPr>
        <w:ind w:firstLine="480"/>
        <w:rPr>
          <w:rFonts w:ascii="宋体" w:hAnsi="宋体" w:cs="宋体"/>
          <w:highlight w:val="none"/>
        </w:rPr>
      </w:pPr>
    </w:p>
    <w:p>
      <w:pPr>
        <w:ind w:firstLine="480"/>
        <w:rPr>
          <w:rFonts w:ascii="宋体" w:hAnsi="宋体" w:cs="宋体"/>
          <w:highlight w:val="none"/>
        </w:rPr>
      </w:pPr>
      <w:r>
        <w:rPr>
          <w:rFonts w:hint="eastAsia" w:ascii="宋体" w:hAnsi="宋体" w:cs="宋体"/>
          <w:highlight w:val="none"/>
          <w:lang w:eastAsia="zh-CN"/>
        </w:rPr>
        <w:t>公司负责人</w:t>
      </w:r>
      <w:r>
        <w:rPr>
          <w:rFonts w:hint="eastAsia" w:ascii="宋体" w:hAnsi="宋体" w:cs="宋体"/>
          <w:highlight w:val="none"/>
        </w:rPr>
        <w:t xml:space="preserve">（签字）：           </w:t>
      </w:r>
      <w:r>
        <w:rPr>
          <w:rFonts w:hint="eastAsia" w:ascii="宋体" w:hAnsi="宋体" w:cs="宋体"/>
          <w:highlight w:val="none"/>
          <w:lang w:val="en-US" w:eastAsia="zh-CN"/>
        </w:rPr>
        <w:t xml:space="preserve">     </w:t>
      </w:r>
      <w:r>
        <w:rPr>
          <w:rFonts w:hint="eastAsia" w:ascii="宋体" w:hAnsi="宋体" w:cs="宋体"/>
          <w:highlight w:val="none"/>
        </w:rPr>
        <w:t xml:space="preserve">  </w:t>
      </w:r>
      <w:r>
        <w:rPr>
          <w:rFonts w:hint="eastAsia" w:ascii="宋体" w:hAnsi="宋体" w:cs="宋体"/>
          <w:highlight w:val="none"/>
          <w:lang w:eastAsia="zh-CN"/>
        </w:rPr>
        <w:t>公司负责</w:t>
      </w:r>
      <w:r>
        <w:rPr>
          <w:rFonts w:hint="eastAsia" w:ascii="宋体" w:hAnsi="宋体" w:cs="宋体"/>
          <w:highlight w:val="none"/>
        </w:rPr>
        <w:t xml:space="preserve">人（签字）：               </w:t>
      </w:r>
    </w:p>
    <w:p>
      <w:pPr>
        <w:ind w:firstLine="480"/>
        <w:rPr>
          <w:rFonts w:ascii="宋体" w:hAnsi="宋体" w:cs="宋体"/>
          <w:highlight w:val="none"/>
        </w:rPr>
      </w:pPr>
    </w:p>
    <w:p>
      <w:pPr>
        <w:ind w:firstLine="480"/>
        <w:rPr>
          <w:rFonts w:ascii="宋体" w:hAnsi="宋体" w:cs="宋体"/>
          <w:highlight w:val="none"/>
        </w:rPr>
      </w:pPr>
      <w:r>
        <w:rPr>
          <w:rFonts w:hint="eastAsia" w:ascii="宋体" w:hAnsi="宋体" w:cs="宋体"/>
          <w:highlight w:val="none"/>
        </w:rPr>
        <w:t xml:space="preserve">年   月   日                   </w:t>
      </w:r>
      <w:r>
        <w:rPr>
          <w:rFonts w:hint="eastAsia" w:ascii="宋体" w:hAnsi="宋体" w:cs="宋体"/>
          <w:highlight w:val="none"/>
          <w:lang w:val="en-US" w:eastAsia="zh-CN"/>
        </w:rPr>
        <w:t xml:space="preserve">     </w:t>
      </w:r>
      <w:r>
        <w:rPr>
          <w:rFonts w:hint="eastAsia" w:ascii="宋体" w:hAnsi="宋体" w:cs="宋体"/>
          <w:highlight w:val="none"/>
        </w:rPr>
        <w:t xml:space="preserve">  年   月   日</w:t>
      </w:r>
    </w:p>
    <w:p>
      <w:pPr>
        <w:ind w:left="0" w:leftChars="0" w:firstLine="0" w:firstLineChars="0"/>
        <w:rPr>
          <w:highlight w:val="none"/>
        </w:rPr>
      </w:pPr>
    </w:p>
    <w:sectPr>
      <w:headerReference r:id="rId5" w:type="default"/>
      <w:footerReference r:id="rId6" w:type="default"/>
      <w:pgSz w:w="11906" w:h="16838"/>
      <w:pgMar w:top="1440" w:right="1440" w:bottom="1440" w:left="1440" w:header="851" w:footer="99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9E77C"/>
    <w:multiLevelType w:val="singleLevel"/>
    <w:tmpl w:val="FE59E77C"/>
    <w:lvl w:ilvl="0" w:tentative="0">
      <w:start w:val="1"/>
      <w:numFmt w:val="decimal"/>
      <w:suff w:val="nothing"/>
      <w:lvlText w:val="%1．"/>
      <w:lvlJc w:val="left"/>
      <w:pPr>
        <w:ind w:left="0" w:firstLine="400"/>
      </w:pPr>
      <w:rPr>
        <w:rFonts w:hint="default"/>
      </w:rPr>
    </w:lvl>
  </w:abstractNum>
  <w:abstractNum w:abstractNumId="1">
    <w:nsid w:val="44825F7E"/>
    <w:multiLevelType w:val="singleLevel"/>
    <w:tmpl w:val="44825F7E"/>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YjNiMTk1MDIxNDA0OWI2M2QyM2RjM2E5MjkzNWUifQ=="/>
  </w:docVars>
  <w:rsids>
    <w:rsidRoot w:val="4AA3209D"/>
    <w:rsid w:val="00010552"/>
    <w:rsid w:val="00050D16"/>
    <w:rsid w:val="00062F5F"/>
    <w:rsid w:val="00094EA1"/>
    <w:rsid w:val="000B0760"/>
    <w:rsid w:val="000C1778"/>
    <w:rsid w:val="000F3544"/>
    <w:rsid w:val="00152DC6"/>
    <w:rsid w:val="00154DFC"/>
    <w:rsid w:val="0024442E"/>
    <w:rsid w:val="002A1DC2"/>
    <w:rsid w:val="002D05F7"/>
    <w:rsid w:val="003945D6"/>
    <w:rsid w:val="004D2CA2"/>
    <w:rsid w:val="00522FBD"/>
    <w:rsid w:val="00524110"/>
    <w:rsid w:val="00600471"/>
    <w:rsid w:val="006109EF"/>
    <w:rsid w:val="006A4424"/>
    <w:rsid w:val="006B3E75"/>
    <w:rsid w:val="006E00A8"/>
    <w:rsid w:val="007433C8"/>
    <w:rsid w:val="00744E7E"/>
    <w:rsid w:val="007B694F"/>
    <w:rsid w:val="0082189A"/>
    <w:rsid w:val="008254F5"/>
    <w:rsid w:val="00862D0F"/>
    <w:rsid w:val="00925D7C"/>
    <w:rsid w:val="00960497"/>
    <w:rsid w:val="00977A5B"/>
    <w:rsid w:val="009A1CEC"/>
    <w:rsid w:val="00A24BF1"/>
    <w:rsid w:val="00A37877"/>
    <w:rsid w:val="00A75A66"/>
    <w:rsid w:val="00AD745C"/>
    <w:rsid w:val="00B2017C"/>
    <w:rsid w:val="00B47C6A"/>
    <w:rsid w:val="00B93266"/>
    <w:rsid w:val="00C24333"/>
    <w:rsid w:val="00C51870"/>
    <w:rsid w:val="00C51E54"/>
    <w:rsid w:val="00CA4FB9"/>
    <w:rsid w:val="00CA6D0C"/>
    <w:rsid w:val="00CE1D6B"/>
    <w:rsid w:val="00CE7844"/>
    <w:rsid w:val="00CF4B36"/>
    <w:rsid w:val="00D30922"/>
    <w:rsid w:val="00D6527B"/>
    <w:rsid w:val="00D66ECE"/>
    <w:rsid w:val="00DD3279"/>
    <w:rsid w:val="00DF39F5"/>
    <w:rsid w:val="00E05DDE"/>
    <w:rsid w:val="00E57BBE"/>
    <w:rsid w:val="00ED713E"/>
    <w:rsid w:val="00EE007E"/>
    <w:rsid w:val="00F04483"/>
    <w:rsid w:val="00F56EBB"/>
    <w:rsid w:val="00F94E7C"/>
    <w:rsid w:val="01454CBB"/>
    <w:rsid w:val="01816721"/>
    <w:rsid w:val="01E10ED0"/>
    <w:rsid w:val="031B69EC"/>
    <w:rsid w:val="040B44E9"/>
    <w:rsid w:val="04440EA5"/>
    <w:rsid w:val="04657F2A"/>
    <w:rsid w:val="052B430E"/>
    <w:rsid w:val="05E05ABA"/>
    <w:rsid w:val="06E951F6"/>
    <w:rsid w:val="07524795"/>
    <w:rsid w:val="07A111B9"/>
    <w:rsid w:val="080A5070"/>
    <w:rsid w:val="0AA03507"/>
    <w:rsid w:val="0BFC1173"/>
    <w:rsid w:val="0C05685F"/>
    <w:rsid w:val="0C7E602C"/>
    <w:rsid w:val="0DDF1F83"/>
    <w:rsid w:val="0E030CCC"/>
    <w:rsid w:val="10117DFC"/>
    <w:rsid w:val="103D6409"/>
    <w:rsid w:val="107E261E"/>
    <w:rsid w:val="10AC73CE"/>
    <w:rsid w:val="10B244F7"/>
    <w:rsid w:val="10B60D4A"/>
    <w:rsid w:val="128E1E81"/>
    <w:rsid w:val="12B46E52"/>
    <w:rsid w:val="1360648C"/>
    <w:rsid w:val="14405066"/>
    <w:rsid w:val="15747FCD"/>
    <w:rsid w:val="166364A1"/>
    <w:rsid w:val="1767428D"/>
    <w:rsid w:val="178C03BD"/>
    <w:rsid w:val="187F1B0A"/>
    <w:rsid w:val="188B43D5"/>
    <w:rsid w:val="1A493866"/>
    <w:rsid w:val="1AE23C2A"/>
    <w:rsid w:val="1B6006B8"/>
    <w:rsid w:val="1B733863"/>
    <w:rsid w:val="1CB6536F"/>
    <w:rsid w:val="1CCE23EB"/>
    <w:rsid w:val="1F0B4ACE"/>
    <w:rsid w:val="1F523DF3"/>
    <w:rsid w:val="1F565CD7"/>
    <w:rsid w:val="20190CF3"/>
    <w:rsid w:val="20977E55"/>
    <w:rsid w:val="20BE4E13"/>
    <w:rsid w:val="21894E00"/>
    <w:rsid w:val="222300C0"/>
    <w:rsid w:val="24E25AE6"/>
    <w:rsid w:val="24EE271B"/>
    <w:rsid w:val="25657932"/>
    <w:rsid w:val="25694195"/>
    <w:rsid w:val="26793BBD"/>
    <w:rsid w:val="26992656"/>
    <w:rsid w:val="26B2663E"/>
    <w:rsid w:val="285717B4"/>
    <w:rsid w:val="287171E9"/>
    <w:rsid w:val="29762687"/>
    <w:rsid w:val="2A257EAA"/>
    <w:rsid w:val="2B57151A"/>
    <w:rsid w:val="2BCD0F7E"/>
    <w:rsid w:val="2BDA4BD6"/>
    <w:rsid w:val="2BFB29F2"/>
    <w:rsid w:val="2C71553B"/>
    <w:rsid w:val="2D4D143E"/>
    <w:rsid w:val="2DD45625"/>
    <w:rsid w:val="2EB70352"/>
    <w:rsid w:val="2FAE30E8"/>
    <w:rsid w:val="3000360C"/>
    <w:rsid w:val="31D97252"/>
    <w:rsid w:val="32F637C4"/>
    <w:rsid w:val="3359047B"/>
    <w:rsid w:val="336B6D51"/>
    <w:rsid w:val="339E6821"/>
    <w:rsid w:val="35635C3C"/>
    <w:rsid w:val="35B446E9"/>
    <w:rsid w:val="37176727"/>
    <w:rsid w:val="37B77099"/>
    <w:rsid w:val="37E1109A"/>
    <w:rsid w:val="384C5A79"/>
    <w:rsid w:val="38543F62"/>
    <w:rsid w:val="385C10F8"/>
    <w:rsid w:val="38BB3729"/>
    <w:rsid w:val="392C6D9B"/>
    <w:rsid w:val="393F49A1"/>
    <w:rsid w:val="3CCF005B"/>
    <w:rsid w:val="3D766941"/>
    <w:rsid w:val="3E0569D1"/>
    <w:rsid w:val="3EC90660"/>
    <w:rsid w:val="3F125FDD"/>
    <w:rsid w:val="3FB46FD3"/>
    <w:rsid w:val="40696866"/>
    <w:rsid w:val="42BF2068"/>
    <w:rsid w:val="431979CA"/>
    <w:rsid w:val="43874A4F"/>
    <w:rsid w:val="44240CA9"/>
    <w:rsid w:val="44655746"/>
    <w:rsid w:val="45FD4563"/>
    <w:rsid w:val="466E0464"/>
    <w:rsid w:val="46AE27AC"/>
    <w:rsid w:val="475B05B1"/>
    <w:rsid w:val="49CC087B"/>
    <w:rsid w:val="4A205A52"/>
    <w:rsid w:val="4A934476"/>
    <w:rsid w:val="4AA3209D"/>
    <w:rsid w:val="4B7E1D99"/>
    <w:rsid w:val="4D0E0191"/>
    <w:rsid w:val="4D3857A8"/>
    <w:rsid w:val="4E593C28"/>
    <w:rsid w:val="4E963FA2"/>
    <w:rsid w:val="4F142837"/>
    <w:rsid w:val="4F8261A2"/>
    <w:rsid w:val="4FA11C69"/>
    <w:rsid w:val="500371EC"/>
    <w:rsid w:val="507F724A"/>
    <w:rsid w:val="509E7760"/>
    <w:rsid w:val="52802336"/>
    <w:rsid w:val="529D3DB1"/>
    <w:rsid w:val="539774E2"/>
    <w:rsid w:val="53C438F2"/>
    <w:rsid w:val="549209B8"/>
    <w:rsid w:val="550012C8"/>
    <w:rsid w:val="56AE2637"/>
    <w:rsid w:val="579040FA"/>
    <w:rsid w:val="58580AAD"/>
    <w:rsid w:val="59622E18"/>
    <w:rsid w:val="5B802E56"/>
    <w:rsid w:val="5D242AFD"/>
    <w:rsid w:val="5D2A6606"/>
    <w:rsid w:val="5D862F00"/>
    <w:rsid w:val="5DC012A8"/>
    <w:rsid w:val="5DE22614"/>
    <w:rsid w:val="5E6E5143"/>
    <w:rsid w:val="5F1D134C"/>
    <w:rsid w:val="5F3D3DB4"/>
    <w:rsid w:val="5F99755D"/>
    <w:rsid w:val="601E0862"/>
    <w:rsid w:val="604668F4"/>
    <w:rsid w:val="611D44F1"/>
    <w:rsid w:val="615F71AA"/>
    <w:rsid w:val="61F13B94"/>
    <w:rsid w:val="631D4DCC"/>
    <w:rsid w:val="635B0A78"/>
    <w:rsid w:val="635F7193"/>
    <w:rsid w:val="63B43A4B"/>
    <w:rsid w:val="652E5159"/>
    <w:rsid w:val="653A164E"/>
    <w:rsid w:val="65530F79"/>
    <w:rsid w:val="66AF0431"/>
    <w:rsid w:val="69554B22"/>
    <w:rsid w:val="6AB407F4"/>
    <w:rsid w:val="6AED5115"/>
    <w:rsid w:val="6B317A40"/>
    <w:rsid w:val="6C6A134C"/>
    <w:rsid w:val="6CAD2F11"/>
    <w:rsid w:val="6CC10EBE"/>
    <w:rsid w:val="6CF0156B"/>
    <w:rsid w:val="6D79788E"/>
    <w:rsid w:val="6D9C6427"/>
    <w:rsid w:val="6DFF15A1"/>
    <w:rsid w:val="6E6D6BA7"/>
    <w:rsid w:val="700233CF"/>
    <w:rsid w:val="710239CD"/>
    <w:rsid w:val="72EE5E3E"/>
    <w:rsid w:val="740E0EC0"/>
    <w:rsid w:val="741369A5"/>
    <w:rsid w:val="74780177"/>
    <w:rsid w:val="74882AD3"/>
    <w:rsid w:val="74BB61F3"/>
    <w:rsid w:val="77391FC6"/>
    <w:rsid w:val="774F59F9"/>
    <w:rsid w:val="777625FF"/>
    <w:rsid w:val="78122EF9"/>
    <w:rsid w:val="784A6072"/>
    <w:rsid w:val="788259A6"/>
    <w:rsid w:val="7894562A"/>
    <w:rsid w:val="7A6D4049"/>
    <w:rsid w:val="7BC77B74"/>
    <w:rsid w:val="7CA3413D"/>
    <w:rsid w:val="7CC3640F"/>
    <w:rsid w:val="7CF07389"/>
    <w:rsid w:val="7EC34622"/>
    <w:rsid w:val="7F7351A9"/>
    <w:rsid w:val="FBFD11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360" w:lineRule="auto"/>
      <w:ind w:firstLine="420" w:firstLineChars="200"/>
    </w:pPr>
    <w:rPr>
      <w:rFonts w:ascii="Times New Roman" w:hAnsi="Times New Roman" w:eastAsia="宋体" w:cstheme="minorBidi"/>
      <w:kern w:val="2"/>
      <w:sz w:val="24"/>
      <w:szCs w:val="24"/>
      <w:lang w:val="en-US" w:eastAsia="zh-CN" w:bidi="ar-SA"/>
    </w:rPr>
  </w:style>
  <w:style w:type="paragraph" w:styleId="4">
    <w:name w:val="heading 1"/>
    <w:basedOn w:val="1"/>
    <w:next w:val="1"/>
    <w:link w:val="31"/>
    <w:qFormat/>
    <w:uiPriority w:val="7"/>
    <w:pPr>
      <w:keepNext/>
      <w:keepLines/>
      <w:ind w:firstLine="0" w:firstLineChars="0"/>
      <w:jc w:val="center"/>
      <w:outlineLvl w:val="0"/>
    </w:pPr>
    <w:rPr>
      <w:rFonts w:cs="Times New Roman"/>
      <w:b/>
      <w:bCs/>
      <w:snapToGrid w:val="0"/>
      <w:kern w:val="0"/>
      <w:sz w:val="36"/>
      <w:szCs w:val="36"/>
    </w:rPr>
  </w:style>
  <w:style w:type="paragraph" w:styleId="5">
    <w:name w:val="heading 2"/>
    <w:basedOn w:val="1"/>
    <w:next w:val="1"/>
    <w:qFormat/>
    <w:uiPriority w:val="0"/>
    <w:pPr>
      <w:keepNext/>
      <w:keepLines/>
      <w:ind w:firstLine="480"/>
      <w:outlineLvl w:val="1"/>
    </w:pPr>
    <w:rPr>
      <w:rFonts w:ascii="Cambria" w:hAnsi="Cambria"/>
      <w:b/>
      <w:bCs/>
      <w:sz w:val="28"/>
      <w:szCs w:val="32"/>
    </w:rPr>
  </w:style>
  <w:style w:type="paragraph" w:styleId="6">
    <w:name w:val="heading 3"/>
    <w:basedOn w:val="1"/>
    <w:next w:val="1"/>
    <w:unhideWhenUsed/>
    <w:qFormat/>
    <w:uiPriority w:val="0"/>
    <w:pPr>
      <w:keepNext/>
      <w:keepLines/>
      <w:ind w:firstLine="0" w:firstLineChars="0"/>
      <w:jc w:val="center"/>
      <w:outlineLvl w:val="2"/>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0"/>
    <w:pPr>
      <w:spacing w:line="275" w:lineRule="atLeast"/>
      <w:ind w:left="72" w:leftChars="72" w:right="30"/>
      <w:jc w:val="center"/>
    </w:pPr>
    <w:rPr>
      <w:rFonts w:ascii="宋体" w:hAnsi="宋体" w:eastAsia="楷体_GB2312"/>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link w:val="28"/>
    <w:qFormat/>
    <w:uiPriority w:val="0"/>
    <w:pPr>
      <w:widowControl/>
      <w:tabs>
        <w:tab w:val="left" w:pos="1134"/>
      </w:tabs>
      <w:adjustRightInd w:val="0"/>
      <w:snapToGrid w:val="0"/>
      <w:spacing w:line="240" w:lineRule="auto"/>
    </w:pPr>
    <w:rPr>
      <w:rFonts w:eastAsia="PMingLiU"/>
      <w:kern w:val="0"/>
      <w:lang w:eastAsia="zh-TW"/>
    </w:rPr>
  </w:style>
  <w:style w:type="paragraph" w:styleId="9">
    <w:name w:val="Body Text Indent"/>
    <w:basedOn w:val="1"/>
    <w:qFormat/>
    <w:uiPriority w:val="0"/>
    <w:pPr>
      <w:spacing w:line="700" w:lineRule="exact"/>
      <w:ind w:left="960"/>
    </w:pPr>
    <w:rPr>
      <w:sz w:val="44"/>
    </w:rPr>
  </w:style>
  <w:style w:type="paragraph" w:styleId="10">
    <w:name w:val="Body Text Indent 2"/>
    <w:basedOn w:val="1"/>
    <w:qFormat/>
    <w:uiPriority w:val="0"/>
    <w:pPr>
      <w:spacing w:line="480" w:lineRule="auto"/>
      <w:ind w:firstLine="560"/>
    </w:pPr>
    <w:rPr>
      <w:sz w:val="28"/>
      <w:szCs w:val="28"/>
    </w:rPr>
  </w:style>
  <w:style w:type="paragraph" w:styleId="11">
    <w:name w:val="Balloon Text"/>
    <w:basedOn w:val="1"/>
    <w:link w:val="27"/>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toc 1"/>
    <w:basedOn w:val="1"/>
    <w:next w:val="1"/>
    <w:qFormat/>
    <w:uiPriority w:val="0"/>
  </w:style>
  <w:style w:type="paragraph" w:styleId="15">
    <w:name w:val="annotation subject"/>
    <w:basedOn w:val="8"/>
    <w:next w:val="8"/>
    <w:link w:val="29"/>
    <w:qFormat/>
    <w:uiPriority w:val="0"/>
    <w:pPr>
      <w:widowControl w:val="0"/>
      <w:tabs>
        <w:tab w:val="clear" w:pos="1134"/>
      </w:tabs>
      <w:adjustRightInd/>
      <w:snapToGrid/>
      <w:spacing w:line="360" w:lineRule="auto"/>
    </w:pPr>
    <w:rPr>
      <w:rFonts w:eastAsia="宋体"/>
      <w:b/>
      <w:bCs/>
      <w:kern w:val="2"/>
      <w:lang w:eastAsia="zh-CN"/>
    </w:rPr>
  </w:style>
  <w:style w:type="paragraph" w:styleId="16">
    <w:name w:val="Body Text First Indent 2"/>
    <w:basedOn w:val="9"/>
    <w:qFormat/>
    <w:uiPriority w:val="0"/>
    <w:pPr>
      <w:spacing w:after="120" w:line="240" w:lineRule="auto"/>
      <w:ind w:left="420" w:leftChars="200"/>
    </w:pPr>
    <w:rPr>
      <w:sz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u w:val="single"/>
    </w:rPr>
  </w:style>
  <w:style w:type="character" w:styleId="21">
    <w:name w:val="annotation reference"/>
    <w:qFormat/>
    <w:uiPriority w:val="0"/>
    <w:rPr>
      <w:sz w:val="21"/>
    </w:rPr>
  </w:style>
  <w:style w:type="paragraph" w:customStyle="1" w:styleId="22">
    <w:name w:val="样式 正文首行缩进 + 首行缩进:  2 字符1 Char Char"/>
    <w:basedOn w:val="23"/>
    <w:qFormat/>
    <w:uiPriority w:val="0"/>
    <w:pPr>
      <w:spacing w:line="400" w:lineRule="exact"/>
      <w:ind w:firstLine="480"/>
    </w:pPr>
    <w:rPr>
      <w:rFonts w:ascii="Times New Roman" w:hAnsi="Times New Roman" w:eastAsia="仿宋_GB2312" w:cs="宋体"/>
    </w:rPr>
  </w:style>
  <w:style w:type="paragraph" w:customStyle="1" w:styleId="23">
    <w:name w:val="正文首行缩进1"/>
    <w:basedOn w:val="24"/>
    <w:qFormat/>
    <w:uiPriority w:val="0"/>
    <w:pPr>
      <w:spacing w:after="120"/>
      <w:ind w:firstLine="100"/>
    </w:pPr>
    <w:rPr>
      <w:rFonts w:ascii="宋体" w:hAnsi="宋体"/>
      <w:color w:val="000000"/>
    </w:rPr>
  </w:style>
  <w:style w:type="paragraph" w:customStyle="1" w:styleId="24">
    <w:name w:val="正文文本1"/>
    <w:basedOn w:val="1"/>
    <w:qFormat/>
    <w:uiPriority w:val="0"/>
  </w:style>
  <w:style w:type="paragraph" w:customStyle="1" w:styleId="25">
    <w:name w:val="Heading3"/>
    <w:basedOn w:val="1"/>
    <w:next w:val="1"/>
    <w:qFormat/>
    <w:uiPriority w:val="0"/>
    <w:pPr>
      <w:spacing w:before="16"/>
      <w:textAlignment w:val="baseline"/>
    </w:pPr>
    <w:rPr>
      <w:rFonts w:ascii="仿宋_GB2312" w:eastAsia="仿宋_GB2312" w:cs="Times New Roman"/>
      <w:b/>
      <w:szCs w:val="28"/>
    </w:rPr>
  </w:style>
  <w:style w:type="paragraph" w:customStyle="1" w:styleId="2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批注框文本 Char"/>
    <w:basedOn w:val="19"/>
    <w:link w:val="11"/>
    <w:qFormat/>
    <w:uiPriority w:val="0"/>
    <w:rPr>
      <w:rFonts w:ascii="Times New Roman" w:hAnsi="Times New Roman" w:eastAsia="宋体"/>
      <w:kern w:val="2"/>
      <w:sz w:val="18"/>
      <w:szCs w:val="18"/>
    </w:rPr>
  </w:style>
  <w:style w:type="character" w:customStyle="1" w:styleId="28">
    <w:name w:val="批注文字 Char"/>
    <w:basedOn w:val="19"/>
    <w:link w:val="8"/>
    <w:qFormat/>
    <w:uiPriority w:val="0"/>
    <w:rPr>
      <w:rFonts w:ascii="Times New Roman" w:hAnsi="Times New Roman" w:eastAsia="PMingLiU"/>
      <w:sz w:val="24"/>
      <w:szCs w:val="24"/>
      <w:lang w:eastAsia="zh-TW"/>
    </w:rPr>
  </w:style>
  <w:style w:type="character" w:customStyle="1" w:styleId="29">
    <w:name w:val="批注主题 Char"/>
    <w:basedOn w:val="28"/>
    <w:link w:val="15"/>
    <w:qFormat/>
    <w:uiPriority w:val="0"/>
    <w:rPr>
      <w:rFonts w:ascii="Times New Roman" w:hAnsi="Times New Roman" w:eastAsia="宋体"/>
      <w:b/>
      <w:bCs/>
      <w:kern w:val="2"/>
      <w:sz w:val="24"/>
      <w:szCs w:val="24"/>
      <w:lang w:eastAsia="zh-TW"/>
    </w:rPr>
  </w:style>
  <w:style w:type="paragraph" w:customStyle="1" w:styleId="30">
    <w:name w:val="Revision"/>
    <w:hidden/>
    <w:unhideWhenUsed/>
    <w:qFormat/>
    <w:uiPriority w:val="99"/>
    <w:rPr>
      <w:rFonts w:ascii="Times New Roman" w:hAnsi="Times New Roman" w:eastAsia="宋体" w:cstheme="minorBidi"/>
      <w:kern w:val="2"/>
      <w:sz w:val="24"/>
      <w:szCs w:val="24"/>
      <w:lang w:val="en-US" w:eastAsia="zh-CN" w:bidi="ar-SA"/>
    </w:rPr>
  </w:style>
  <w:style w:type="character" w:customStyle="1" w:styleId="31">
    <w:name w:val="标题 1 Char"/>
    <w:basedOn w:val="19"/>
    <w:link w:val="4"/>
    <w:qFormat/>
    <w:locked/>
    <w:uiPriority w:val="99"/>
    <w:rPr>
      <w:rFonts w:cs="Times New Roman"/>
      <w:b/>
      <w:bCs/>
      <w:snapToGrid w:val="0"/>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12096</Words>
  <Characters>12954</Characters>
  <Lines>224</Lines>
  <Paragraphs>63</Paragraphs>
  <TotalTime>11</TotalTime>
  <ScaleCrop>false</ScaleCrop>
  <LinksUpToDate>false</LinksUpToDate>
  <CharactersWithSpaces>13147</CharactersWithSpaces>
  <Application>WPS Office_11.8.2.11841_F1E327BC-269C-435d-A152-05C5408002CA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2024-04-25T14:25:00Z</dcterms:created>
  <dc:creator>质检员</dc:creator>
  <cp:lastModifiedBy>叶旭</cp:lastModifiedBy>
  <dcterms:modified xsi:type="dcterms:W3CDTF">2026-04-27T07:30:03Z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2052-11.8.2.11841</vt:lpwstr>
  </property>
  <property fmtid="{D5CDD505-2E9C-101B-9397-08002B2CF9AE}" pid="3" name="ICV">
    <vt:lpwstr>7E255E09F88A4B629938F34D06B4F684_13</vt:lpwstr>
  </property>
  <property fmtid="{D5CDD505-2E9C-101B-9397-08002B2CF9AE}" pid="4" name="KSOTemplateDocerSaveRecord">
    <vt:lpwstr>eyJoZGlkIjoiNjMzNmRjY2NkMjdkYTU2NjRmODVlYmMxMTU2MTA5MWIiLCJ1c2VySWQiOiI0MjgxMzA4NjcifQ==</vt:lpwstr>
  </property>
</Properties>
</file>